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9AC26" w14:textId="674F4942" w:rsidR="005B26FB" w:rsidRPr="00CF264B" w:rsidRDefault="00777BFE" w:rsidP="00865C1B">
      <w:pPr>
        <w:pStyle w:val="Title"/>
        <w:rPr>
          <w:b w:val="0"/>
          <w:lang w:val="en-AU"/>
        </w:rPr>
      </w:pPr>
      <w:bookmarkStart w:id="0" w:name="_GoBack"/>
      <w:bookmarkEnd w:id="0"/>
      <w:r w:rsidRPr="00CF264B">
        <w:rPr>
          <w:lang w:val="en-AU"/>
        </w:rPr>
        <w:t>Aotearoa New Zealand’s Proposed Accessibility Legislation: An Initial Critique</w:t>
      </w:r>
    </w:p>
    <w:p w14:paraId="67BA6355" w14:textId="69C477A6" w:rsidR="00777BFE" w:rsidRPr="00CF264B" w:rsidRDefault="00694354" w:rsidP="002F26B8">
      <w:pPr>
        <w:pStyle w:val="Subtitle"/>
        <w:rPr>
          <w:lang w:val="en-AU"/>
        </w:rPr>
      </w:pPr>
      <w:r>
        <w:rPr>
          <w:lang w:val="en-AU"/>
        </w:rPr>
        <w:t xml:space="preserve">Olivia Kelly on behalf of </w:t>
      </w:r>
      <w:r w:rsidR="00777BFE" w:rsidRPr="00CF264B">
        <w:rPr>
          <w:lang w:val="en-AU"/>
        </w:rPr>
        <w:t>Auckland Disability Law</w:t>
      </w:r>
      <w:r w:rsidR="006B02D6" w:rsidRPr="00CF264B">
        <w:rPr>
          <w:rStyle w:val="FootnoteReference"/>
          <w:b/>
          <w:bCs/>
          <w:lang w:val="en-AU"/>
        </w:rPr>
        <w:footnoteReference w:id="1"/>
      </w:r>
    </w:p>
    <w:p w14:paraId="06BCE4F8" w14:textId="667CF95A" w:rsidR="00777BFE" w:rsidRPr="00CF264B" w:rsidRDefault="00694354" w:rsidP="002F26B8">
      <w:pPr>
        <w:pStyle w:val="Subtitle"/>
        <w:rPr>
          <w:lang w:val="en-AU"/>
        </w:rPr>
      </w:pPr>
      <w:r>
        <w:rPr>
          <w:lang w:val="en-AU"/>
        </w:rPr>
        <w:t>May</w:t>
      </w:r>
      <w:r w:rsidR="00777BFE" w:rsidRPr="00CF264B">
        <w:rPr>
          <w:lang w:val="en-AU"/>
        </w:rPr>
        <w:t xml:space="preserve"> 2022</w:t>
      </w:r>
    </w:p>
    <w:p w14:paraId="0C818DC9" w14:textId="3AE75B93" w:rsidR="00777BFE" w:rsidRPr="0056614B" w:rsidRDefault="00777BFE">
      <w:pPr>
        <w:rPr>
          <w:b/>
          <w:bCs/>
          <w:i/>
          <w:iCs/>
          <w:lang w:val="en-AU"/>
        </w:rPr>
      </w:pPr>
    </w:p>
    <w:p w14:paraId="58B0F6AF" w14:textId="67AB5B27" w:rsidR="0056614B" w:rsidRDefault="0056614B" w:rsidP="00C754E3">
      <w:pPr>
        <w:pStyle w:val="Heading1"/>
        <w:rPr>
          <w:b w:val="0"/>
          <w:lang w:val="en-AU"/>
        </w:rPr>
      </w:pPr>
      <w:r w:rsidRPr="0056614B">
        <w:rPr>
          <w:lang w:val="en-AU"/>
        </w:rPr>
        <w:t>Executive Summary</w:t>
      </w:r>
    </w:p>
    <w:p w14:paraId="5BFD98DC" w14:textId="39914D17" w:rsidR="0056614B" w:rsidRDefault="001504FA" w:rsidP="00A324F8">
      <w:r>
        <w:t>Framed</w:t>
      </w:r>
      <w:r w:rsidR="0056614B" w:rsidRPr="00CF264B">
        <w:t xml:space="preserve"> as an early critique, </w:t>
      </w:r>
      <w:r w:rsidR="0056614B">
        <w:t>t</w:t>
      </w:r>
      <w:r w:rsidR="0056614B" w:rsidRPr="00CF264B">
        <w:t>his paper provide</w:t>
      </w:r>
      <w:r>
        <w:t>s</w:t>
      </w:r>
      <w:r w:rsidR="0056614B" w:rsidRPr="00CF264B">
        <w:t xml:space="preserve"> an overview of the proposed accessibility legislation for Aotearoa New Zealand. </w:t>
      </w:r>
      <w:r w:rsidR="002805BE">
        <w:t>The legislation is currently being drafted and is due to be introduced to Parliament in July 2022.</w:t>
      </w:r>
      <w:r w:rsidR="00126254">
        <w:t xml:space="preserve"> This considered critique is based on information currently in the public domain. </w:t>
      </w:r>
      <w:r w:rsidR="0056614B">
        <w:t xml:space="preserve">The </w:t>
      </w:r>
      <w:r w:rsidR="002805BE">
        <w:t>existing</w:t>
      </w:r>
      <w:r w:rsidR="0056614B">
        <w:t xml:space="preserve"> legislative approach </w:t>
      </w:r>
      <w:r w:rsidR="008E2D22">
        <w:t xml:space="preserve">does </w:t>
      </w:r>
      <w:r w:rsidR="008E2D22">
        <w:rPr>
          <w:shd w:val="clear" w:color="auto" w:fill="FFFFFF"/>
        </w:rPr>
        <w:t xml:space="preserve">not provide a coherent or systematic process for progress towards removal of barriers and increased accessibility. International obligations and a push by disabled people for greater accessibility has </w:t>
      </w:r>
      <w:r w:rsidR="00BD7710">
        <w:rPr>
          <w:shd w:val="clear" w:color="auto" w:fill="FFFFFF"/>
        </w:rPr>
        <w:t xml:space="preserve">resulted in a change of approach from the Government. Part of this </w:t>
      </w:r>
      <w:r w:rsidR="00C53E18">
        <w:rPr>
          <w:shd w:val="clear" w:color="auto" w:fill="FFFFFF"/>
        </w:rPr>
        <w:t>transformation</w:t>
      </w:r>
      <w:r w:rsidR="00BD7710">
        <w:rPr>
          <w:shd w:val="clear" w:color="auto" w:fill="FFFFFF"/>
        </w:rPr>
        <w:t xml:space="preserve"> is proposed accessibility legislation</w:t>
      </w:r>
      <w:r w:rsidR="00C53E18">
        <w:rPr>
          <w:shd w:val="clear" w:color="auto" w:fill="FFFFFF"/>
        </w:rPr>
        <w:t xml:space="preserve">. The structure of the legislation reflects the Government’s </w:t>
      </w:r>
      <w:r w:rsidR="00B66100">
        <w:rPr>
          <w:shd w:val="clear" w:color="auto" w:fill="FFFFFF"/>
        </w:rPr>
        <w:t xml:space="preserve">non-prescriptive philosophical </w:t>
      </w:r>
      <w:r w:rsidR="00C53E18">
        <w:rPr>
          <w:shd w:val="clear" w:color="auto" w:fill="FFFFFF"/>
        </w:rPr>
        <w:t>approach to accessibility progress</w:t>
      </w:r>
      <w:r w:rsidR="00B66100">
        <w:rPr>
          <w:shd w:val="clear" w:color="auto" w:fill="FFFFFF"/>
        </w:rPr>
        <w:t xml:space="preserve">. The legislation </w:t>
      </w:r>
      <w:r w:rsidR="00BD7710">
        <w:rPr>
          <w:shd w:val="clear" w:color="auto" w:fill="FFFFFF"/>
        </w:rPr>
        <w:t xml:space="preserve">sets up a governance board and a framework for the identification and removal of barriers. Although certainly a first step, it is questionable whether the </w:t>
      </w:r>
      <w:r w:rsidR="0056614B" w:rsidRPr="00CF264B">
        <w:t>proposed legislation is likely to meet the expectations of disabled people</w:t>
      </w:r>
      <w:r w:rsidR="00BD7710">
        <w:t xml:space="preserve">. </w:t>
      </w:r>
      <w:r w:rsidR="0066708C">
        <w:t xml:space="preserve">The powers of the governance board are </w:t>
      </w:r>
      <w:r w:rsidR="00B66100">
        <w:t>limited,</w:t>
      </w:r>
      <w:r w:rsidR="0066708C">
        <w:t xml:space="preserve"> and the framework lacks </w:t>
      </w:r>
      <w:r w:rsidR="00254D7E">
        <w:t xml:space="preserve">a regulatory mechanism. There is also no power of investigation, dispute resolution function and enforcement pathway. </w:t>
      </w:r>
      <w:r w:rsidR="00C53E18">
        <w:t>C</w:t>
      </w:r>
      <w:r w:rsidR="0056614B" w:rsidRPr="00CF264B">
        <w:t>hanges</w:t>
      </w:r>
      <w:r w:rsidR="00B66100">
        <w:t xml:space="preserve"> to the proposed l</w:t>
      </w:r>
      <w:r w:rsidR="00B41A37">
        <w:t>aw</w:t>
      </w:r>
      <w:r w:rsidR="0056614B" w:rsidRPr="00CF264B">
        <w:t xml:space="preserve"> could be made during the draft</w:t>
      </w:r>
      <w:r w:rsidR="00C53E18">
        <w:t>ing</w:t>
      </w:r>
      <w:r w:rsidR="0056614B" w:rsidRPr="00CF264B">
        <w:t xml:space="preserve"> </w:t>
      </w:r>
      <w:r w:rsidR="008115AA">
        <w:t>phase</w:t>
      </w:r>
      <w:r w:rsidR="00C53E18">
        <w:t xml:space="preserve"> prior to its introduction to the House in July 2022, </w:t>
      </w:r>
      <w:r w:rsidR="0056614B" w:rsidRPr="00CF264B">
        <w:t>or at the Select Committee stage.</w:t>
      </w:r>
    </w:p>
    <w:p w14:paraId="16472B1F" w14:textId="77777777" w:rsidR="009C38CF" w:rsidRPr="00CF264B" w:rsidRDefault="009C38CF" w:rsidP="00A324F8"/>
    <w:p w14:paraId="6D8746C9" w14:textId="6AC69A67" w:rsidR="00147760" w:rsidRPr="00CF264B" w:rsidRDefault="00792CCD" w:rsidP="00C754E3">
      <w:pPr>
        <w:pStyle w:val="Heading1"/>
        <w:rPr>
          <w:b w:val="0"/>
        </w:rPr>
      </w:pPr>
      <w:r w:rsidRPr="00CF264B">
        <w:t xml:space="preserve">1. </w:t>
      </w:r>
      <w:r w:rsidR="00147760" w:rsidRPr="00CF264B">
        <w:t>Introductory Notes</w:t>
      </w:r>
    </w:p>
    <w:p w14:paraId="16ACCC0A" w14:textId="44B55901" w:rsidR="009939D5" w:rsidRPr="00CF264B" w:rsidRDefault="009939D5" w:rsidP="008115AA">
      <w:pPr>
        <w:jc w:val="both"/>
        <w:rPr>
          <w:rFonts w:cstheme="minorHAnsi"/>
        </w:rPr>
      </w:pPr>
      <w:r w:rsidRPr="00CF264B">
        <w:rPr>
          <w:rFonts w:cstheme="minorHAnsi"/>
        </w:rPr>
        <w:t xml:space="preserve">We have used the terminology of “disabled people” in this paper </w:t>
      </w:r>
      <w:r w:rsidR="00694354">
        <w:rPr>
          <w:rFonts w:cstheme="minorHAnsi"/>
        </w:rPr>
        <w:t xml:space="preserve">as this is consistent with the language used in the New Zealand Disability Strategy, </w:t>
      </w:r>
      <w:r w:rsidRPr="00CF264B">
        <w:rPr>
          <w:rFonts w:cstheme="minorHAnsi"/>
        </w:rPr>
        <w:t xml:space="preserve">but </w:t>
      </w:r>
      <w:r w:rsidR="00694354">
        <w:rPr>
          <w:rFonts w:cstheme="minorHAnsi"/>
        </w:rPr>
        <w:t xml:space="preserve">we </w:t>
      </w:r>
      <w:r w:rsidRPr="00CF264B">
        <w:rPr>
          <w:rFonts w:cstheme="minorHAnsi"/>
        </w:rPr>
        <w:t xml:space="preserve">recognise that many people have other preferences in describing disability. We apologise for any offence caused </w:t>
      </w:r>
      <w:r w:rsidR="00F34368" w:rsidRPr="00CF264B">
        <w:rPr>
          <w:rFonts w:cstheme="minorHAnsi"/>
        </w:rPr>
        <w:t>by</w:t>
      </w:r>
      <w:r w:rsidRPr="00CF264B">
        <w:rPr>
          <w:rFonts w:cstheme="minorHAnsi"/>
        </w:rPr>
        <w:t xml:space="preserve"> this terminology. </w:t>
      </w:r>
    </w:p>
    <w:p w14:paraId="2BAB07A8" w14:textId="02C59FF2" w:rsidR="00C00A99" w:rsidRDefault="00C00A99" w:rsidP="008115AA">
      <w:pPr>
        <w:jc w:val="both"/>
        <w:rPr>
          <w:rFonts w:cstheme="minorHAnsi"/>
          <w:shd w:val="clear" w:color="auto" w:fill="FFFFFF"/>
        </w:rPr>
      </w:pPr>
      <w:r w:rsidRPr="00CF264B">
        <w:rPr>
          <w:rFonts w:cstheme="minorHAnsi"/>
        </w:rPr>
        <w:t xml:space="preserve">The use of ‘barriers’ in this paper is consistent with the description in the </w:t>
      </w:r>
      <w:r w:rsidR="001D5A80" w:rsidRPr="00CF264B">
        <w:rPr>
          <w:rFonts w:cstheme="minorHAnsi"/>
        </w:rPr>
        <w:t>Government’s Regulatory Impact Statement</w:t>
      </w:r>
      <w:r w:rsidR="008115AA">
        <w:rPr>
          <w:rFonts w:cstheme="minorHAnsi"/>
        </w:rPr>
        <w:t xml:space="preserve"> (RIS)</w:t>
      </w:r>
      <w:r w:rsidR="001D5A80" w:rsidRPr="00CF264B">
        <w:rPr>
          <w:rFonts w:cstheme="minorHAnsi"/>
        </w:rPr>
        <w:t xml:space="preserve"> on accessibility</w:t>
      </w:r>
      <w:r w:rsidRPr="00CF264B">
        <w:rPr>
          <w:rFonts w:cstheme="minorHAnsi"/>
        </w:rPr>
        <w:t>, in relating to “</w:t>
      </w:r>
      <w:r w:rsidR="001D5A80" w:rsidRPr="00CF264B">
        <w:rPr>
          <w:rFonts w:cstheme="minorHAnsi"/>
          <w:shd w:val="clear" w:color="auto" w:fill="FFFFFF"/>
        </w:rPr>
        <w:t xml:space="preserve">all key areas of life, such as the built environment, transportation, information, services, education and </w:t>
      </w:r>
      <w:r w:rsidR="001D5A80" w:rsidRPr="00CF264B">
        <w:rPr>
          <w:rFonts w:cstheme="minorHAnsi"/>
          <w:shd w:val="clear" w:color="auto" w:fill="FFFFFF"/>
        </w:rPr>
        <w:lastRenderedPageBreak/>
        <w:t>health.</w:t>
      </w:r>
      <w:r w:rsidRPr="00CF264B">
        <w:rPr>
          <w:rFonts w:cstheme="minorHAnsi"/>
          <w:shd w:val="clear" w:color="auto" w:fill="FFFFFF"/>
        </w:rPr>
        <w:t>”</w:t>
      </w:r>
      <w:r w:rsidRPr="00CF264B">
        <w:rPr>
          <w:rStyle w:val="FootnoteReference"/>
          <w:rFonts w:cstheme="minorHAnsi"/>
          <w:shd w:val="clear" w:color="auto" w:fill="FFFFFF"/>
        </w:rPr>
        <w:footnoteReference w:id="2"/>
      </w:r>
      <w:r w:rsidRPr="00CF264B">
        <w:rPr>
          <w:rFonts w:cstheme="minorHAnsi"/>
          <w:shd w:val="clear" w:color="auto" w:fill="FFFFFF"/>
        </w:rPr>
        <w:t xml:space="preserve"> We acknowledge that this </w:t>
      </w:r>
      <w:r w:rsidR="001D5A80" w:rsidRPr="00CF264B">
        <w:rPr>
          <w:rFonts w:cstheme="minorHAnsi"/>
          <w:shd w:val="clear" w:color="auto" w:fill="FFFFFF"/>
        </w:rPr>
        <w:t>scope</w:t>
      </w:r>
      <w:r w:rsidRPr="00CF264B">
        <w:rPr>
          <w:rFonts w:cstheme="minorHAnsi"/>
          <w:shd w:val="clear" w:color="auto" w:fill="FFFFFF"/>
        </w:rPr>
        <w:t xml:space="preserve"> does not encompass all barriers experienced by disabled </w:t>
      </w:r>
      <w:r w:rsidR="00A42CA5" w:rsidRPr="00CF264B">
        <w:rPr>
          <w:rFonts w:cstheme="minorHAnsi"/>
          <w:shd w:val="clear" w:color="auto" w:fill="FFFFFF"/>
        </w:rPr>
        <w:t>people</w:t>
      </w:r>
      <w:r w:rsidR="00F34368" w:rsidRPr="00CF264B">
        <w:rPr>
          <w:rFonts w:cstheme="minorHAnsi"/>
          <w:shd w:val="clear" w:color="auto" w:fill="FFFFFF"/>
        </w:rPr>
        <w:t>, and do not wish to minimise those barriers outside this description. These barriers are</w:t>
      </w:r>
      <w:r w:rsidR="001D5A80" w:rsidRPr="00CF264B">
        <w:rPr>
          <w:rFonts w:cstheme="minorHAnsi"/>
          <w:shd w:val="clear" w:color="auto" w:fill="FFFFFF"/>
        </w:rPr>
        <w:t xml:space="preserve">, however, </w:t>
      </w:r>
      <w:r w:rsidR="00F34368" w:rsidRPr="00CF264B">
        <w:rPr>
          <w:rFonts w:cstheme="minorHAnsi"/>
          <w:shd w:val="clear" w:color="auto" w:fill="FFFFFF"/>
        </w:rPr>
        <w:t xml:space="preserve">likely to fall within the </w:t>
      </w:r>
      <w:r w:rsidR="001D5A80" w:rsidRPr="00CF264B">
        <w:rPr>
          <w:rFonts w:cstheme="minorHAnsi"/>
          <w:shd w:val="clear" w:color="auto" w:fill="FFFFFF"/>
        </w:rPr>
        <w:t>jurisdiction</w:t>
      </w:r>
      <w:r w:rsidR="00F34368" w:rsidRPr="00CF264B">
        <w:rPr>
          <w:rFonts w:cstheme="minorHAnsi"/>
          <w:shd w:val="clear" w:color="auto" w:fill="FFFFFF"/>
        </w:rPr>
        <w:t xml:space="preserve"> of </w:t>
      </w:r>
      <w:r w:rsidRPr="00CF264B">
        <w:rPr>
          <w:rFonts w:cstheme="minorHAnsi"/>
          <w:shd w:val="clear" w:color="auto" w:fill="FFFFFF"/>
        </w:rPr>
        <w:t>accessibility legislation.</w:t>
      </w:r>
    </w:p>
    <w:p w14:paraId="7295BD4F" w14:textId="77777777" w:rsidR="009C38CF" w:rsidRPr="00CF264B" w:rsidRDefault="009C38CF" w:rsidP="008115AA">
      <w:pPr>
        <w:jc w:val="both"/>
        <w:rPr>
          <w:rFonts w:cstheme="minorHAnsi"/>
        </w:rPr>
      </w:pPr>
    </w:p>
    <w:p w14:paraId="34F49786" w14:textId="65467077" w:rsidR="00884C0B" w:rsidRPr="00CF264B" w:rsidRDefault="00792CCD" w:rsidP="00C754E3">
      <w:pPr>
        <w:pStyle w:val="Heading1"/>
        <w:rPr>
          <w:b w:val="0"/>
        </w:rPr>
      </w:pPr>
      <w:r w:rsidRPr="00CF264B">
        <w:t xml:space="preserve">2. </w:t>
      </w:r>
      <w:r w:rsidR="00884C0B" w:rsidRPr="00CF264B">
        <w:t>Background</w:t>
      </w:r>
    </w:p>
    <w:p w14:paraId="4FA0CF0F" w14:textId="60F6AE94" w:rsidR="00EC3C1E" w:rsidRPr="00CF264B" w:rsidRDefault="00884C0B" w:rsidP="00A42CA5">
      <w:pPr>
        <w:jc w:val="both"/>
        <w:rPr>
          <w:rFonts w:cstheme="minorHAnsi"/>
        </w:rPr>
      </w:pPr>
      <w:r w:rsidRPr="00CF264B">
        <w:rPr>
          <w:rFonts w:cstheme="minorHAnsi"/>
        </w:rPr>
        <w:t>In</w:t>
      </w:r>
      <w:r w:rsidR="00C922B7" w:rsidRPr="00CF264B">
        <w:rPr>
          <w:rFonts w:cstheme="minorHAnsi"/>
        </w:rPr>
        <w:t xml:space="preserve"> October 2021, the </w:t>
      </w:r>
      <w:r w:rsidR="008115AA">
        <w:rPr>
          <w:rFonts w:cstheme="minorHAnsi"/>
        </w:rPr>
        <w:t>G</w:t>
      </w:r>
      <w:r w:rsidR="00C922B7" w:rsidRPr="00CF264B">
        <w:rPr>
          <w:rFonts w:cstheme="minorHAnsi"/>
        </w:rPr>
        <w:t>overnment</w:t>
      </w:r>
      <w:r w:rsidRPr="00CF264B">
        <w:rPr>
          <w:rFonts w:cstheme="minorHAnsi"/>
        </w:rPr>
        <w:t xml:space="preserve"> announced comprehensive </w:t>
      </w:r>
      <w:r w:rsidR="00E75D6E" w:rsidRPr="00CF264B">
        <w:rPr>
          <w:rFonts w:cstheme="minorHAnsi"/>
        </w:rPr>
        <w:t>reforms that aim</w:t>
      </w:r>
      <w:r w:rsidR="004A29C3">
        <w:rPr>
          <w:rFonts w:cstheme="minorHAnsi"/>
        </w:rPr>
        <w:t>ed</w:t>
      </w:r>
      <w:r w:rsidR="00E75D6E" w:rsidRPr="00CF264B">
        <w:rPr>
          <w:rFonts w:cstheme="minorHAnsi"/>
        </w:rPr>
        <w:t xml:space="preserve"> to deliver “transformative changes for disabled people”</w:t>
      </w:r>
      <w:r w:rsidR="00EC3C1E" w:rsidRPr="00CF264B">
        <w:rPr>
          <w:rFonts w:cstheme="minorHAnsi"/>
        </w:rPr>
        <w:t>.</w:t>
      </w:r>
      <w:r w:rsidR="00E75D6E" w:rsidRPr="00CF264B">
        <w:rPr>
          <w:rStyle w:val="FootnoteReference"/>
          <w:rFonts w:cstheme="minorHAnsi"/>
        </w:rPr>
        <w:footnoteReference w:id="3"/>
      </w:r>
      <w:r w:rsidR="00EC3C1E" w:rsidRPr="00CF264B">
        <w:rPr>
          <w:rFonts w:cstheme="minorHAnsi"/>
        </w:rPr>
        <w:t xml:space="preserve"> Part of this raft of changes </w:t>
      </w:r>
      <w:r w:rsidR="004A29C3">
        <w:rPr>
          <w:rFonts w:cstheme="minorHAnsi"/>
        </w:rPr>
        <w:t>included</w:t>
      </w:r>
      <w:r w:rsidR="00EC3C1E" w:rsidRPr="00CF264B">
        <w:rPr>
          <w:rFonts w:cstheme="minorHAnsi"/>
        </w:rPr>
        <w:t xml:space="preserve"> the introduction of accessibility-specific legislation, tentatively titled </w:t>
      </w:r>
      <w:r w:rsidR="00B41A37">
        <w:rPr>
          <w:rFonts w:cstheme="minorHAnsi"/>
        </w:rPr>
        <w:t>‘</w:t>
      </w:r>
      <w:r w:rsidR="00EC3C1E" w:rsidRPr="00CF264B">
        <w:rPr>
          <w:rFonts w:cstheme="minorHAnsi"/>
        </w:rPr>
        <w:t>The Accessibility for New Zealanders</w:t>
      </w:r>
      <w:r w:rsidR="006D3A7B" w:rsidRPr="00CF264B">
        <w:rPr>
          <w:rFonts w:cstheme="minorHAnsi"/>
        </w:rPr>
        <w:t xml:space="preserve"> Bill</w:t>
      </w:r>
      <w:r w:rsidR="00B41A37">
        <w:rPr>
          <w:rFonts w:cstheme="minorHAnsi"/>
        </w:rPr>
        <w:t>’</w:t>
      </w:r>
      <w:r w:rsidR="00EC3C1E" w:rsidRPr="00CF264B">
        <w:rPr>
          <w:rFonts w:cstheme="minorHAnsi"/>
        </w:rPr>
        <w:t xml:space="preserve">. </w:t>
      </w:r>
    </w:p>
    <w:p w14:paraId="762A1EDE" w14:textId="7FADCEBB" w:rsidR="00A42CA5" w:rsidRPr="00CF264B" w:rsidRDefault="00A42CA5" w:rsidP="008115AA">
      <w:pPr>
        <w:jc w:val="both"/>
        <w:rPr>
          <w:rFonts w:cstheme="minorHAnsi"/>
        </w:rPr>
      </w:pPr>
      <w:r w:rsidRPr="00CF264B">
        <w:rPr>
          <w:rFonts w:cstheme="minorHAnsi"/>
        </w:rPr>
        <w:t>This was a culmination of years-long lobbying effort</w:t>
      </w:r>
      <w:r w:rsidR="004A29C3">
        <w:rPr>
          <w:rFonts w:cstheme="minorHAnsi"/>
        </w:rPr>
        <w:t>s</w:t>
      </w:r>
      <w:r w:rsidRPr="00CF264B">
        <w:rPr>
          <w:rFonts w:cstheme="minorHAnsi"/>
        </w:rPr>
        <w:t xml:space="preserve"> by disabled people for an accessibility law. It</w:t>
      </w:r>
      <w:r w:rsidR="00EC3C1E" w:rsidRPr="00CF264B">
        <w:rPr>
          <w:rFonts w:cstheme="minorHAnsi"/>
        </w:rPr>
        <w:t xml:space="preserve"> reflected an acknowledgement that the current </w:t>
      </w:r>
      <w:r w:rsidR="00AD2E37" w:rsidRPr="00CF264B">
        <w:rPr>
          <w:rFonts w:cstheme="minorHAnsi"/>
        </w:rPr>
        <w:t>approach to accessibility in Aotearoa New Zealand</w:t>
      </w:r>
      <w:r w:rsidR="00EC3C1E" w:rsidRPr="00CF264B">
        <w:rPr>
          <w:rFonts w:cstheme="minorHAnsi"/>
        </w:rPr>
        <w:t xml:space="preserve"> </w:t>
      </w:r>
      <w:r w:rsidR="00AD2E37" w:rsidRPr="00CF264B">
        <w:rPr>
          <w:rFonts w:cstheme="minorHAnsi"/>
        </w:rPr>
        <w:t xml:space="preserve">was </w:t>
      </w:r>
      <w:r w:rsidRPr="00CF264B">
        <w:rPr>
          <w:rFonts w:cstheme="minorHAnsi"/>
        </w:rPr>
        <w:t xml:space="preserve">unsuccessful and had not provided an effective pathway for </w:t>
      </w:r>
      <w:r w:rsidR="004A29C3">
        <w:rPr>
          <w:rFonts w:cstheme="minorHAnsi"/>
        </w:rPr>
        <w:t>accessibility</w:t>
      </w:r>
      <w:r w:rsidRPr="00CF264B">
        <w:rPr>
          <w:rFonts w:cstheme="minorHAnsi"/>
        </w:rPr>
        <w:t xml:space="preserve">. </w:t>
      </w:r>
    </w:p>
    <w:p w14:paraId="1F57DDC2" w14:textId="77777777" w:rsidR="00B41A37" w:rsidRDefault="00B41A37">
      <w:pPr>
        <w:rPr>
          <w:rFonts w:cstheme="minorHAnsi"/>
          <w:b/>
          <w:bCs/>
          <w:shd w:val="clear" w:color="auto" w:fill="FFFFFF"/>
        </w:rPr>
      </w:pPr>
    </w:p>
    <w:p w14:paraId="5F2CF75C" w14:textId="379662C4" w:rsidR="00884C0B" w:rsidRPr="00CF264B" w:rsidRDefault="00792CCD" w:rsidP="00C754E3">
      <w:pPr>
        <w:pStyle w:val="Heading1"/>
        <w:rPr>
          <w:b w:val="0"/>
          <w:shd w:val="clear" w:color="auto" w:fill="FFFFFF"/>
        </w:rPr>
      </w:pPr>
      <w:r w:rsidRPr="00CF264B">
        <w:rPr>
          <w:shd w:val="clear" w:color="auto" w:fill="FFFFFF"/>
        </w:rPr>
        <w:t xml:space="preserve">3. </w:t>
      </w:r>
      <w:r w:rsidR="00884C0B" w:rsidRPr="00CF264B">
        <w:rPr>
          <w:shd w:val="clear" w:color="auto" w:fill="FFFFFF"/>
        </w:rPr>
        <w:t>Current system</w:t>
      </w:r>
    </w:p>
    <w:p w14:paraId="5A85E6CC" w14:textId="1E180694" w:rsidR="00920258" w:rsidRPr="00CF264B" w:rsidRDefault="00920258" w:rsidP="008115AA">
      <w:pPr>
        <w:jc w:val="both"/>
        <w:rPr>
          <w:rFonts w:cstheme="minorHAnsi"/>
          <w:shd w:val="clear" w:color="auto" w:fill="FFFFFF"/>
        </w:rPr>
      </w:pPr>
      <w:r w:rsidRPr="00CF264B">
        <w:rPr>
          <w:rFonts w:cstheme="minorHAnsi"/>
          <w:shd w:val="clear" w:color="auto" w:fill="FFFFFF"/>
        </w:rPr>
        <w:t xml:space="preserve">Aotearoa New Zealand currently has no stand-alone accessibility legislation. The current accessibility </w:t>
      </w:r>
      <w:r w:rsidR="0023680C" w:rsidRPr="00CF264B">
        <w:rPr>
          <w:rFonts w:cstheme="minorHAnsi"/>
          <w:shd w:val="clear" w:color="auto" w:fill="FFFFFF"/>
        </w:rPr>
        <w:t>‘</w:t>
      </w:r>
      <w:r w:rsidRPr="00CF264B">
        <w:rPr>
          <w:rFonts w:cstheme="minorHAnsi"/>
          <w:shd w:val="clear" w:color="auto" w:fill="FFFFFF"/>
        </w:rPr>
        <w:t>system</w:t>
      </w:r>
      <w:r w:rsidR="0023680C" w:rsidRPr="00CF264B">
        <w:rPr>
          <w:rFonts w:cstheme="minorHAnsi"/>
          <w:shd w:val="clear" w:color="auto" w:fill="FFFFFF"/>
        </w:rPr>
        <w:t>’</w:t>
      </w:r>
      <w:r w:rsidRPr="00CF264B">
        <w:rPr>
          <w:rFonts w:cstheme="minorHAnsi"/>
          <w:shd w:val="clear" w:color="auto" w:fill="FFFFFF"/>
        </w:rPr>
        <w:t xml:space="preserve"> has two strands: the standards/rules</w:t>
      </w:r>
      <w:r w:rsidR="006B2005" w:rsidRPr="00CF264B">
        <w:rPr>
          <w:rFonts w:cstheme="minorHAnsi"/>
          <w:shd w:val="clear" w:color="auto" w:fill="FFFFFF"/>
        </w:rPr>
        <w:t>,</w:t>
      </w:r>
      <w:r w:rsidRPr="00CF264B">
        <w:rPr>
          <w:rFonts w:cstheme="minorHAnsi"/>
          <w:shd w:val="clear" w:color="auto" w:fill="FFFFFF"/>
        </w:rPr>
        <w:t xml:space="preserve"> and remedies/complaint mechanisms. </w:t>
      </w:r>
      <w:r w:rsidR="0023680C" w:rsidRPr="00CF264B">
        <w:rPr>
          <w:rFonts w:cstheme="minorHAnsi"/>
          <w:shd w:val="clear" w:color="auto" w:fill="FFFFFF"/>
        </w:rPr>
        <w:t xml:space="preserve">Both can be used as mechanisms to remove barriers but are problematic for several reasons. </w:t>
      </w:r>
    </w:p>
    <w:p w14:paraId="463350B5" w14:textId="72945248" w:rsidR="008B478F" w:rsidRPr="00CF264B" w:rsidRDefault="008B478F" w:rsidP="008115AA">
      <w:pPr>
        <w:jc w:val="both"/>
        <w:rPr>
          <w:rFonts w:cstheme="minorHAnsi"/>
          <w:shd w:val="clear" w:color="auto" w:fill="FFFFFF"/>
        </w:rPr>
      </w:pPr>
      <w:r w:rsidRPr="00CF264B">
        <w:rPr>
          <w:rFonts w:cstheme="minorHAnsi"/>
          <w:shd w:val="clear" w:color="auto" w:fill="FFFFFF"/>
        </w:rPr>
        <w:t>Accessibility requirements within the law</w:t>
      </w:r>
      <w:r w:rsidR="006A2392" w:rsidRPr="00CF264B">
        <w:rPr>
          <w:rFonts w:cstheme="minorHAnsi"/>
          <w:shd w:val="clear" w:color="auto" w:fill="FFFFFF"/>
        </w:rPr>
        <w:t xml:space="preserve"> are piecemeal and </w:t>
      </w:r>
      <w:r w:rsidR="00D723FE" w:rsidRPr="00CF264B">
        <w:rPr>
          <w:rFonts w:cstheme="minorHAnsi"/>
          <w:shd w:val="clear" w:color="auto" w:fill="FFFFFF"/>
        </w:rPr>
        <w:t xml:space="preserve">often </w:t>
      </w:r>
      <w:r w:rsidR="006A2392" w:rsidRPr="00CF264B">
        <w:rPr>
          <w:rFonts w:cstheme="minorHAnsi"/>
          <w:shd w:val="clear" w:color="auto" w:fill="FFFFFF"/>
        </w:rPr>
        <w:t xml:space="preserve">voluntary. </w:t>
      </w:r>
      <w:r w:rsidRPr="00CF264B">
        <w:rPr>
          <w:rFonts w:cstheme="minorHAnsi"/>
          <w:shd w:val="clear" w:color="auto" w:fill="FFFFFF"/>
        </w:rPr>
        <w:t xml:space="preserve">They are scattered across primary </w:t>
      </w:r>
      <w:r w:rsidR="00E8385F">
        <w:rPr>
          <w:rFonts w:cstheme="minorHAnsi"/>
          <w:shd w:val="clear" w:color="auto" w:fill="FFFFFF"/>
        </w:rPr>
        <w:t>and</w:t>
      </w:r>
      <w:r w:rsidRPr="00CF264B">
        <w:rPr>
          <w:rFonts w:cstheme="minorHAnsi"/>
          <w:shd w:val="clear" w:color="auto" w:fill="FFFFFF"/>
        </w:rPr>
        <w:t xml:space="preserve"> secondary </w:t>
      </w:r>
      <w:r w:rsidR="00DB7DDE" w:rsidRPr="00CF264B">
        <w:rPr>
          <w:rFonts w:cstheme="minorHAnsi"/>
          <w:shd w:val="clear" w:color="auto" w:fill="FFFFFF"/>
        </w:rPr>
        <w:t>leg</w:t>
      </w:r>
      <w:r w:rsidR="00DB7DDE">
        <w:rPr>
          <w:rFonts w:cstheme="minorHAnsi"/>
          <w:shd w:val="clear" w:color="auto" w:fill="FFFFFF"/>
        </w:rPr>
        <w:t>i</w:t>
      </w:r>
      <w:r w:rsidR="00DB7DDE" w:rsidRPr="00CF264B">
        <w:rPr>
          <w:rFonts w:cstheme="minorHAnsi"/>
          <w:shd w:val="clear" w:color="auto" w:fill="FFFFFF"/>
        </w:rPr>
        <w:t>slation</w:t>
      </w:r>
      <w:r w:rsidRPr="00CF264B">
        <w:rPr>
          <w:rFonts w:cstheme="minorHAnsi"/>
          <w:shd w:val="clear" w:color="auto" w:fill="FFFFFF"/>
        </w:rPr>
        <w:t>, policies</w:t>
      </w:r>
      <w:r w:rsidR="00D723FE" w:rsidRPr="00CF264B">
        <w:rPr>
          <w:rFonts w:cstheme="minorHAnsi"/>
          <w:shd w:val="clear" w:color="auto" w:fill="FFFFFF"/>
        </w:rPr>
        <w:t>, and guidelines</w:t>
      </w:r>
      <w:r w:rsidRPr="00CF264B">
        <w:rPr>
          <w:rFonts w:cstheme="minorHAnsi"/>
          <w:shd w:val="clear" w:color="auto" w:fill="FFFFFF"/>
        </w:rPr>
        <w:t xml:space="preserve">. </w:t>
      </w:r>
      <w:r w:rsidR="00D723FE" w:rsidRPr="00CF264B">
        <w:rPr>
          <w:rFonts w:cstheme="minorHAnsi"/>
          <w:shd w:val="clear" w:color="auto" w:fill="FFFFFF"/>
        </w:rPr>
        <w:t>Some sectors, such as the built environment and transportation</w:t>
      </w:r>
      <w:r w:rsidR="004412B7">
        <w:rPr>
          <w:rFonts w:cstheme="minorHAnsi"/>
          <w:shd w:val="clear" w:color="auto" w:fill="FFFFFF"/>
        </w:rPr>
        <w:t>,</w:t>
      </w:r>
      <w:r w:rsidR="00D723FE" w:rsidRPr="00CF264B">
        <w:rPr>
          <w:rFonts w:cstheme="minorHAnsi"/>
          <w:shd w:val="clear" w:color="auto" w:fill="FFFFFF"/>
        </w:rPr>
        <w:t xml:space="preserve"> have specific standards that apply</w:t>
      </w:r>
      <w:r w:rsidR="00923DF6" w:rsidRPr="00CF264B">
        <w:rPr>
          <w:rFonts w:cstheme="minorHAnsi"/>
          <w:shd w:val="clear" w:color="auto" w:fill="FFFFFF"/>
        </w:rPr>
        <w:t>, albeit these may be unenforceable or simply not enforced</w:t>
      </w:r>
      <w:r w:rsidR="004A29C3">
        <w:rPr>
          <w:rFonts w:cstheme="minorHAnsi"/>
          <w:shd w:val="clear" w:color="auto" w:fill="FFFFFF"/>
        </w:rPr>
        <w:t xml:space="preserve"> in practice</w:t>
      </w:r>
      <w:r w:rsidR="00923DF6" w:rsidRPr="00CF264B">
        <w:rPr>
          <w:rFonts w:cstheme="minorHAnsi"/>
          <w:shd w:val="clear" w:color="auto" w:fill="FFFFFF"/>
        </w:rPr>
        <w:t xml:space="preserve">. Other sectors </w:t>
      </w:r>
      <w:r w:rsidR="00D723FE" w:rsidRPr="00CF264B">
        <w:rPr>
          <w:rFonts w:cstheme="minorHAnsi"/>
          <w:shd w:val="clear" w:color="auto" w:fill="FFFFFF"/>
        </w:rPr>
        <w:t xml:space="preserve">remain </w:t>
      </w:r>
      <w:r w:rsidR="0023680C" w:rsidRPr="00CF264B">
        <w:rPr>
          <w:rFonts w:cstheme="minorHAnsi"/>
          <w:shd w:val="clear" w:color="auto" w:fill="FFFFFF"/>
        </w:rPr>
        <w:t>poorly addressed</w:t>
      </w:r>
      <w:r w:rsidR="00D723FE" w:rsidRPr="00CF264B">
        <w:rPr>
          <w:rFonts w:cstheme="minorHAnsi"/>
          <w:shd w:val="clear" w:color="auto" w:fill="FFFFFF"/>
        </w:rPr>
        <w:t xml:space="preserve">.  </w:t>
      </w:r>
      <w:r w:rsidR="00525F64" w:rsidRPr="00CF264B">
        <w:rPr>
          <w:rFonts w:cstheme="minorHAnsi"/>
          <w:shd w:val="clear" w:color="auto" w:fill="FFFFFF"/>
        </w:rPr>
        <w:t xml:space="preserve">The </w:t>
      </w:r>
      <w:r w:rsidR="00F85DAD">
        <w:rPr>
          <w:rFonts w:cstheme="minorHAnsi"/>
          <w:shd w:val="clear" w:color="auto" w:fill="FFFFFF"/>
        </w:rPr>
        <w:t>G</w:t>
      </w:r>
      <w:r w:rsidR="00525F64" w:rsidRPr="00CF264B">
        <w:rPr>
          <w:rFonts w:cstheme="minorHAnsi"/>
          <w:shd w:val="clear" w:color="auto" w:fill="FFFFFF"/>
        </w:rPr>
        <w:t>overnment has described the current system as, “</w:t>
      </w:r>
      <w:r w:rsidR="00073225" w:rsidRPr="00CF264B">
        <w:rPr>
          <w:rFonts w:cstheme="minorHAnsi"/>
          <w:shd w:val="clear" w:color="auto" w:fill="FFFFFF"/>
        </w:rPr>
        <w:t>fragmented, slow, hard to measure, and hasn’t led to the credible policy, system design and service delivery needed to achieve an accessible society.”</w:t>
      </w:r>
      <w:r w:rsidR="00073225" w:rsidRPr="00CF264B">
        <w:rPr>
          <w:rStyle w:val="FootnoteReference"/>
          <w:rFonts w:cstheme="minorHAnsi"/>
          <w:shd w:val="clear" w:color="auto" w:fill="FFFFFF"/>
        </w:rPr>
        <w:footnoteReference w:id="4"/>
      </w:r>
    </w:p>
    <w:p w14:paraId="5AB4FDCB" w14:textId="79D14685" w:rsidR="00A10FC3" w:rsidRPr="00CF264B" w:rsidRDefault="004C35A1" w:rsidP="008115AA">
      <w:pPr>
        <w:jc w:val="both"/>
        <w:rPr>
          <w:rFonts w:cstheme="minorHAnsi"/>
          <w:shd w:val="clear" w:color="auto" w:fill="FFFFFF"/>
        </w:rPr>
      </w:pPr>
      <w:r w:rsidRPr="00CF264B">
        <w:rPr>
          <w:rFonts w:cstheme="minorHAnsi"/>
          <w:shd w:val="clear" w:color="auto" w:fill="FFFFFF"/>
        </w:rPr>
        <w:t>The second strand of the current system is the ability to undertake a complaint to a relevant body. For example, removal of a barrier may be attempted by making a disability discrimination complaint to the Human Rights Commission</w:t>
      </w:r>
      <w:r w:rsidR="00A10FC3" w:rsidRPr="00CF264B">
        <w:rPr>
          <w:rFonts w:cstheme="minorHAnsi"/>
          <w:shd w:val="clear" w:color="auto" w:fill="FFFFFF"/>
        </w:rPr>
        <w:t xml:space="preserve"> (HRC)</w:t>
      </w:r>
      <w:r w:rsidRPr="00CF264B">
        <w:rPr>
          <w:rFonts w:cstheme="minorHAnsi"/>
          <w:shd w:val="clear" w:color="auto" w:fill="FFFFFF"/>
        </w:rPr>
        <w:t xml:space="preserve"> under the Human Rights Act 1993 (HRA). Complaints are often resolved in confidential mediated settlements as part of the process set out in the </w:t>
      </w:r>
      <w:r w:rsidR="00A10FC3" w:rsidRPr="00CF264B">
        <w:rPr>
          <w:rFonts w:cstheme="minorHAnsi"/>
          <w:shd w:val="clear" w:color="auto" w:fill="FFFFFF"/>
        </w:rPr>
        <w:t>HRA</w:t>
      </w:r>
      <w:r w:rsidRPr="00CF264B">
        <w:rPr>
          <w:rFonts w:cstheme="minorHAnsi"/>
          <w:shd w:val="clear" w:color="auto" w:fill="FFFFFF"/>
        </w:rPr>
        <w:t xml:space="preserve">. </w:t>
      </w:r>
      <w:r w:rsidR="00575D13">
        <w:rPr>
          <w:rFonts w:cstheme="minorHAnsi"/>
          <w:shd w:val="clear" w:color="auto" w:fill="FFFFFF"/>
        </w:rPr>
        <w:t xml:space="preserve">It should be acknowledged that </w:t>
      </w:r>
      <w:r w:rsidR="00575D13">
        <w:rPr>
          <w:rFonts w:cstheme="minorHAnsi"/>
          <w:shd w:val="clear" w:color="auto" w:fill="FFFFFF"/>
        </w:rPr>
        <w:lastRenderedPageBreak/>
        <w:t>t</w:t>
      </w:r>
      <w:r w:rsidR="00D74E47">
        <w:rPr>
          <w:rFonts w:cstheme="minorHAnsi"/>
          <w:shd w:val="clear" w:color="auto" w:fill="FFFFFF"/>
        </w:rPr>
        <w:t>his process has proved effective at resolving some cases of discrimination for individuals.</w:t>
      </w:r>
      <w:r w:rsidR="00575D13">
        <w:rPr>
          <w:rFonts w:cstheme="minorHAnsi"/>
          <w:shd w:val="clear" w:color="auto" w:fill="FFFFFF"/>
        </w:rPr>
        <w:t xml:space="preserve"> However, w</w:t>
      </w:r>
      <w:r w:rsidR="00A10FC3" w:rsidRPr="00CF264B">
        <w:rPr>
          <w:rFonts w:cstheme="minorHAnsi"/>
          <w:shd w:val="clear" w:color="auto" w:fill="FFFFFF"/>
        </w:rPr>
        <w:t>hile a mediated settlement may remove a barrier for the individual involved, it disincentivises systemic change. It also puts an undue burden on disabled people to address barriers.</w:t>
      </w:r>
      <w:r w:rsidR="00942C9D" w:rsidRPr="00CF264B">
        <w:rPr>
          <w:rFonts w:cstheme="minorHAnsi"/>
          <w:shd w:val="clear" w:color="auto" w:fill="FFFFFF"/>
        </w:rPr>
        <w:t xml:space="preserve"> </w:t>
      </w:r>
      <w:r w:rsidR="00351CAD" w:rsidRPr="00CF264B">
        <w:rPr>
          <w:rFonts w:cstheme="minorHAnsi"/>
          <w:shd w:val="clear" w:color="auto" w:fill="FFFFFF"/>
        </w:rPr>
        <w:t xml:space="preserve">This is in direct contravention of the </w:t>
      </w:r>
      <w:r w:rsidR="00942C9D" w:rsidRPr="00CF264B">
        <w:rPr>
          <w:rFonts w:cstheme="minorHAnsi"/>
          <w:shd w:val="clear" w:color="auto" w:fill="FFFFFF"/>
        </w:rPr>
        <w:t>U</w:t>
      </w:r>
      <w:r w:rsidR="00351CAD" w:rsidRPr="00CF264B">
        <w:rPr>
          <w:rFonts w:cstheme="minorHAnsi"/>
          <w:shd w:val="clear" w:color="auto" w:fill="FFFFFF"/>
        </w:rPr>
        <w:t xml:space="preserve">nited </w:t>
      </w:r>
      <w:r w:rsidR="00942C9D" w:rsidRPr="00CF264B">
        <w:rPr>
          <w:rFonts w:cstheme="minorHAnsi"/>
          <w:shd w:val="clear" w:color="auto" w:fill="FFFFFF"/>
        </w:rPr>
        <w:t>N</w:t>
      </w:r>
      <w:r w:rsidR="00351CAD" w:rsidRPr="00CF264B">
        <w:rPr>
          <w:rFonts w:cstheme="minorHAnsi"/>
          <w:shd w:val="clear" w:color="auto" w:fill="FFFFFF"/>
        </w:rPr>
        <w:t>ations</w:t>
      </w:r>
      <w:r w:rsidR="00942C9D" w:rsidRPr="00CF264B">
        <w:rPr>
          <w:rFonts w:cstheme="minorHAnsi"/>
          <w:shd w:val="clear" w:color="auto" w:fill="FFFFFF"/>
        </w:rPr>
        <w:t xml:space="preserve"> Convention on the Rights of Persons with Disabilities </w:t>
      </w:r>
      <w:r w:rsidR="00351CAD" w:rsidRPr="00CF264B">
        <w:rPr>
          <w:rFonts w:cstheme="minorHAnsi"/>
          <w:shd w:val="clear" w:color="auto" w:fill="FFFFFF"/>
        </w:rPr>
        <w:t xml:space="preserve">(CRPD) which </w:t>
      </w:r>
      <w:r w:rsidR="00942C9D" w:rsidRPr="00CF264B">
        <w:rPr>
          <w:rFonts w:cstheme="minorHAnsi"/>
          <w:shd w:val="clear" w:color="auto" w:fill="FFFFFF"/>
        </w:rPr>
        <w:t xml:space="preserve">clearly </w:t>
      </w:r>
      <w:r w:rsidR="007830E9" w:rsidRPr="00CF264B">
        <w:rPr>
          <w:rFonts w:cstheme="minorHAnsi"/>
          <w:shd w:val="clear" w:color="auto" w:fill="FFFFFF"/>
        </w:rPr>
        <w:t xml:space="preserve">requires the </w:t>
      </w:r>
      <w:r w:rsidR="00942C9D" w:rsidRPr="00CF264B">
        <w:rPr>
          <w:rFonts w:cstheme="minorHAnsi"/>
          <w:shd w:val="clear" w:color="auto" w:fill="FFFFFF"/>
        </w:rPr>
        <w:t xml:space="preserve">removal of barriers </w:t>
      </w:r>
      <w:r w:rsidR="007830E9" w:rsidRPr="00CF264B">
        <w:rPr>
          <w:rFonts w:cstheme="minorHAnsi"/>
          <w:shd w:val="clear" w:color="auto" w:fill="FFFFFF"/>
        </w:rPr>
        <w:t xml:space="preserve">to be undertaken by the </w:t>
      </w:r>
      <w:r w:rsidR="00351CAD" w:rsidRPr="00CF264B">
        <w:rPr>
          <w:rFonts w:cstheme="minorHAnsi"/>
          <w:shd w:val="clear" w:color="auto" w:fill="FFFFFF"/>
        </w:rPr>
        <w:t>state</w:t>
      </w:r>
      <w:r w:rsidR="008F1220">
        <w:rPr>
          <w:rFonts w:cstheme="minorHAnsi"/>
          <w:shd w:val="clear" w:color="auto" w:fill="FFFFFF"/>
        </w:rPr>
        <w:t>, rather than individuals</w:t>
      </w:r>
      <w:r w:rsidR="00942C9D" w:rsidRPr="00CF264B">
        <w:rPr>
          <w:rFonts w:cstheme="minorHAnsi"/>
          <w:shd w:val="clear" w:color="auto" w:fill="FFFFFF"/>
        </w:rPr>
        <w:t>.</w:t>
      </w:r>
      <w:r w:rsidR="00942C9D" w:rsidRPr="00CF264B">
        <w:rPr>
          <w:rStyle w:val="FootnoteReference"/>
          <w:rFonts w:cstheme="minorHAnsi"/>
          <w:shd w:val="clear" w:color="auto" w:fill="FFFFFF"/>
        </w:rPr>
        <w:footnoteReference w:id="5"/>
      </w:r>
      <w:r w:rsidR="00942C9D" w:rsidRPr="00CF264B">
        <w:rPr>
          <w:rFonts w:cstheme="minorHAnsi"/>
          <w:shd w:val="clear" w:color="auto" w:fill="FFFFFF"/>
        </w:rPr>
        <w:t xml:space="preserve"> </w:t>
      </w:r>
    </w:p>
    <w:p w14:paraId="628407A4" w14:textId="3F259149" w:rsidR="004C35A1" w:rsidRPr="00CF264B" w:rsidRDefault="004C35A1" w:rsidP="008115AA">
      <w:pPr>
        <w:jc w:val="both"/>
        <w:rPr>
          <w:rFonts w:cstheme="minorHAnsi"/>
          <w:shd w:val="clear" w:color="auto" w:fill="FFFFFF"/>
        </w:rPr>
      </w:pPr>
      <w:r w:rsidRPr="00CF264B">
        <w:rPr>
          <w:rFonts w:cstheme="minorHAnsi"/>
          <w:shd w:val="clear" w:color="auto" w:fill="FFFFFF"/>
        </w:rPr>
        <w:t xml:space="preserve">Very few </w:t>
      </w:r>
      <w:r w:rsidR="008F1220">
        <w:rPr>
          <w:rFonts w:cstheme="minorHAnsi"/>
          <w:shd w:val="clear" w:color="auto" w:fill="FFFFFF"/>
        </w:rPr>
        <w:t xml:space="preserve">disability discrimination </w:t>
      </w:r>
      <w:r w:rsidRPr="00CF264B">
        <w:rPr>
          <w:rFonts w:cstheme="minorHAnsi"/>
          <w:shd w:val="clear" w:color="auto" w:fill="FFFFFF"/>
        </w:rPr>
        <w:t>complaints are</w:t>
      </w:r>
      <w:r w:rsidR="008F1220">
        <w:rPr>
          <w:rFonts w:cstheme="minorHAnsi"/>
          <w:shd w:val="clear" w:color="auto" w:fill="FFFFFF"/>
        </w:rPr>
        <w:t xml:space="preserve"> enforced by </w:t>
      </w:r>
      <w:r w:rsidRPr="00CF264B">
        <w:rPr>
          <w:rFonts w:cstheme="minorHAnsi"/>
          <w:shd w:val="clear" w:color="auto" w:fill="FFFFFF"/>
        </w:rPr>
        <w:t xml:space="preserve">judicial action </w:t>
      </w:r>
      <w:r w:rsidR="00F51498">
        <w:rPr>
          <w:rFonts w:cstheme="minorHAnsi"/>
          <w:shd w:val="clear" w:color="auto" w:fill="FFFFFF"/>
        </w:rPr>
        <w:t xml:space="preserve">of </w:t>
      </w:r>
      <w:r w:rsidRPr="00CF264B">
        <w:rPr>
          <w:rFonts w:cstheme="minorHAnsi"/>
          <w:shd w:val="clear" w:color="auto" w:fill="FFFFFF"/>
        </w:rPr>
        <w:t>the Human Rights Review Tribunal</w:t>
      </w:r>
      <w:r w:rsidR="00351CAD" w:rsidRPr="00CF264B">
        <w:rPr>
          <w:rFonts w:cstheme="minorHAnsi"/>
          <w:shd w:val="clear" w:color="auto" w:fill="FFFFFF"/>
        </w:rPr>
        <w:t xml:space="preserve"> (HRRT)</w:t>
      </w:r>
      <w:r w:rsidR="00A10FC3" w:rsidRPr="00CF264B">
        <w:rPr>
          <w:rFonts w:cstheme="minorHAnsi"/>
          <w:shd w:val="clear" w:color="auto" w:fill="FFFFFF"/>
        </w:rPr>
        <w:t>.</w:t>
      </w:r>
      <w:r w:rsidR="003E31DC">
        <w:rPr>
          <w:rStyle w:val="FootnoteReference"/>
          <w:rFonts w:cstheme="minorHAnsi"/>
          <w:shd w:val="clear" w:color="auto" w:fill="FFFFFF"/>
        </w:rPr>
        <w:footnoteReference w:id="6"/>
      </w:r>
      <w:r w:rsidR="003E31DC">
        <w:rPr>
          <w:rFonts w:cstheme="minorHAnsi"/>
          <w:shd w:val="clear" w:color="auto" w:fill="FFFFFF"/>
        </w:rPr>
        <w:t xml:space="preserve"> </w:t>
      </w:r>
      <w:r w:rsidR="00A10FC3" w:rsidRPr="00CF264B">
        <w:rPr>
          <w:rFonts w:cstheme="minorHAnsi"/>
          <w:shd w:val="clear" w:color="auto" w:fill="FFFFFF"/>
        </w:rPr>
        <w:t xml:space="preserve"> </w:t>
      </w:r>
      <w:r w:rsidR="00351CAD" w:rsidRPr="00CF264B">
        <w:rPr>
          <w:rFonts w:cstheme="minorHAnsi"/>
          <w:shd w:val="clear" w:color="auto" w:fill="FFFFFF"/>
        </w:rPr>
        <w:t>The HRRT is effectively an enforcement mechanism for the HRA, able to make remedial orders to address the barrier.</w:t>
      </w:r>
      <w:r w:rsidR="00351CAD" w:rsidRPr="00CF264B">
        <w:rPr>
          <w:rStyle w:val="FootnoteReference"/>
          <w:rFonts w:cstheme="minorHAnsi"/>
          <w:shd w:val="clear" w:color="auto" w:fill="FFFFFF"/>
        </w:rPr>
        <w:footnoteReference w:id="7"/>
      </w:r>
      <w:r w:rsidR="00351CAD" w:rsidRPr="00CF264B">
        <w:rPr>
          <w:rFonts w:cstheme="minorHAnsi"/>
          <w:shd w:val="clear" w:color="auto" w:fill="FFFFFF"/>
        </w:rPr>
        <w:t xml:space="preserve"> HRRT action can only be commenced </w:t>
      </w:r>
      <w:r w:rsidR="00A10FC3" w:rsidRPr="00CF264B">
        <w:rPr>
          <w:rFonts w:cstheme="minorHAnsi"/>
          <w:shd w:val="clear" w:color="auto" w:fill="FFFFFF"/>
        </w:rPr>
        <w:t>if a mediated settlement is not achieved at the</w:t>
      </w:r>
      <w:r w:rsidR="00E8385F">
        <w:rPr>
          <w:rFonts w:cstheme="minorHAnsi"/>
          <w:shd w:val="clear" w:color="auto" w:fill="FFFFFF"/>
        </w:rPr>
        <w:t xml:space="preserve"> ‘gateway’</w:t>
      </w:r>
      <w:r w:rsidR="00A10FC3" w:rsidRPr="00CF264B">
        <w:rPr>
          <w:rFonts w:cstheme="minorHAnsi"/>
          <w:shd w:val="clear" w:color="auto" w:fill="FFFFFF"/>
        </w:rPr>
        <w:t xml:space="preserve"> HRC.</w:t>
      </w:r>
      <w:r w:rsidRPr="00CF264B">
        <w:rPr>
          <w:rFonts w:cstheme="minorHAnsi"/>
          <w:shd w:val="clear" w:color="auto" w:fill="FFFFFF"/>
        </w:rPr>
        <w:t xml:space="preserve"> This process is time-consuming</w:t>
      </w:r>
      <w:r w:rsidR="00351CAD" w:rsidRPr="00CF264B">
        <w:rPr>
          <w:rFonts w:cstheme="minorHAnsi"/>
          <w:shd w:val="clear" w:color="auto" w:fill="FFFFFF"/>
        </w:rPr>
        <w:t xml:space="preserve">, </w:t>
      </w:r>
      <w:r w:rsidRPr="00CF264B">
        <w:rPr>
          <w:rFonts w:cstheme="minorHAnsi"/>
          <w:shd w:val="clear" w:color="auto" w:fill="FFFFFF"/>
        </w:rPr>
        <w:t>potentially expensive</w:t>
      </w:r>
      <w:r w:rsidR="00351CAD" w:rsidRPr="00CF264B">
        <w:rPr>
          <w:rFonts w:cstheme="minorHAnsi"/>
          <w:shd w:val="clear" w:color="auto" w:fill="FFFFFF"/>
        </w:rPr>
        <w:t>, and rare</w:t>
      </w:r>
      <w:r w:rsidRPr="00CF264B">
        <w:rPr>
          <w:rFonts w:cstheme="minorHAnsi"/>
          <w:shd w:val="clear" w:color="auto" w:fill="FFFFFF"/>
        </w:rPr>
        <w:t xml:space="preserve">. </w:t>
      </w:r>
      <w:r w:rsidR="00A10FC3" w:rsidRPr="00CF264B">
        <w:rPr>
          <w:rFonts w:cstheme="minorHAnsi"/>
          <w:shd w:val="clear" w:color="auto" w:fill="FFFFFF"/>
        </w:rPr>
        <w:t xml:space="preserve">Again, this </w:t>
      </w:r>
      <w:r w:rsidR="008B5B05" w:rsidRPr="00CF264B">
        <w:rPr>
          <w:rFonts w:cstheme="minorHAnsi"/>
          <w:shd w:val="clear" w:color="auto" w:fill="FFFFFF"/>
        </w:rPr>
        <w:t>disincentivises s</w:t>
      </w:r>
      <w:r w:rsidRPr="00CF264B">
        <w:rPr>
          <w:rFonts w:cstheme="minorHAnsi"/>
          <w:shd w:val="clear" w:color="auto" w:fill="FFFFFF"/>
        </w:rPr>
        <w:t xml:space="preserve">ystemic change and progress is glacial. </w:t>
      </w:r>
    </w:p>
    <w:p w14:paraId="6CE44056" w14:textId="1F43848C" w:rsidR="00014BED" w:rsidRDefault="007830E9" w:rsidP="00525F64">
      <w:pPr>
        <w:jc w:val="both"/>
        <w:rPr>
          <w:rFonts w:cstheme="minorHAnsi"/>
          <w:shd w:val="clear" w:color="auto" w:fill="FFFFFF"/>
        </w:rPr>
      </w:pPr>
      <w:r w:rsidRPr="00CF264B">
        <w:rPr>
          <w:rFonts w:cstheme="minorHAnsi"/>
          <w:shd w:val="clear" w:color="auto" w:fill="FFFFFF"/>
        </w:rPr>
        <w:t xml:space="preserve">A further potential HRA provision for the </w:t>
      </w:r>
      <w:r w:rsidR="00CC26A6" w:rsidRPr="00CF264B">
        <w:rPr>
          <w:rFonts w:cstheme="minorHAnsi"/>
          <w:shd w:val="clear" w:color="auto" w:fill="FFFFFF"/>
        </w:rPr>
        <w:t xml:space="preserve">removal of barriers </w:t>
      </w:r>
      <w:r w:rsidRPr="00CF264B">
        <w:rPr>
          <w:rFonts w:cstheme="minorHAnsi"/>
          <w:shd w:val="clear" w:color="auto" w:fill="FFFFFF"/>
        </w:rPr>
        <w:t xml:space="preserve">is </w:t>
      </w:r>
      <w:r w:rsidR="00CC26A6" w:rsidRPr="00CF264B">
        <w:rPr>
          <w:rFonts w:cstheme="minorHAnsi"/>
          <w:shd w:val="clear" w:color="auto" w:fill="FFFFFF"/>
        </w:rPr>
        <w:t xml:space="preserve">the </w:t>
      </w:r>
      <w:r w:rsidR="001E5BD1" w:rsidRPr="00CF264B">
        <w:rPr>
          <w:rFonts w:cstheme="minorHAnsi"/>
          <w:shd w:val="clear" w:color="auto" w:fill="FFFFFF"/>
        </w:rPr>
        <w:t xml:space="preserve">concept of </w:t>
      </w:r>
      <w:r w:rsidRPr="00CF264B">
        <w:rPr>
          <w:rFonts w:cstheme="minorHAnsi"/>
          <w:shd w:val="clear" w:color="auto" w:fill="FFFFFF"/>
        </w:rPr>
        <w:t>‘</w:t>
      </w:r>
      <w:r w:rsidR="001E5BD1" w:rsidRPr="00CF264B">
        <w:rPr>
          <w:rFonts w:cstheme="minorHAnsi"/>
          <w:shd w:val="clear" w:color="auto" w:fill="FFFFFF"/>
        </w:rPr>
        <w:t>reasonable accommodation</w:t>
      </w:r>
      <w:r w:rsidRPr="00CF264B">
        <w:rPr>
          <w:rFonts w:cstheme="minorHAnsi"/>
          <w:shd w:val="clear" w:color="auto" w:fill="FFFFFF"/>
        </w:rPr>
        <w:t>’</w:t>
      </w:r>
      <w:r w:rsidR="001E5BD1" w:rsidRPr="00CF264B">
        <w:rPr>
          <w:rFonts w:cstheme="minorHAnsi"/>
          <w:shd w:val="clear" w:color="auto" w:fill="FFFFFF"/>
        </w:rPr>
        <w:t xml:space="preserve">. Although not explicitly </w:t>
      </w:r>
      <w:r w:rsidR="00A4340C" w:rsidRPr="00CF264B">
        <w:rPr>
          <w:rFonts w:cstheme="minorHAnsi"/>
          <w:shd w:val="clear" w:color="auto" w:fill="FFFFFF"/>
        </w:rPr>
        <w:t>defined</w:t>
      </w:r>
      <w:r w:rsidR="001E5BD1" w:rsidRPr="00CF264B">
        <w:rPr>
          <w:rFonts w:cstheme="minorHAnsi"/>
          <w:shd w:val="clear" w:color="auto" w:fill="FFFFFF"/>
        </w:rPr>
        <w:t xml:space="preserve"> as such in the HRA, the courts have interpreted </w:t>
      </w:r>
      <w:r w:rsidR="00652353" w:rsidRPr="00CF264B">
        <w:rPr>
          <w:rFonts w:cstheme="minorHAnsi"/>
          <w:shd w:val="clear" w:color="auto" w:fill="FFFFFF"/>
        </w:rPr>
        <w:t>relevant</w:t>
      </w:r>
      <w:r w:rsidR="001E5BD1" w:rsidRPr="00CF264B">
        <w:rPr>
          <w:rFonts w:cstheme="minorHAnsi"/>
          <w:shd w:val="clear" w:color="auto" w:fill="FFFFFF"/>
        </w:rPr>
        <w:t xml:space="preserve"> sections within the </w:t>
      </w:r>
      <w:r w:rsidRPr="00CF264B">
        <w:rPr>
          <w:rFonts w:cstheme="minorHAnsi"/>
          <w:shd w:val="clear" w:color="auto" w:fill="FFFFFF"/>
        </w:rPr>
        <w:t>HRA</w:t>
      </w:r>
      <w:r w:rsidR="001E5BD1" w:rsidRPr="00CF264B">
        <w:rPr>
          <w:rFonts w:cstheme="minorHAnsi"/>
          <w:shd w:val="clear" w:color="auto" w:fill="FFFFFF"/>
        </w:rPr>
        <w:t xml:space="preserve"> as being </w:t>
      </w:r>
      <w:r w:rsidRPr="00CF264B">
        <w:rPr>
          <w:rFonts w:cstheme="minorHAnsi"/>
          <w:shd w:val="clear" w:color="auto" w:fill="FFFFFF"/>
        </w:rPr>
        <w:t>reasonable accommodation</w:t>
      </w:r>
      <w:r w:rsidR="001E5BD1" w:rsidRPr="00CF264B">
        <w:rPr>
          <w:rFonts w:cstheme="minorHAnsi"/>
          <w:shd w:val="clear" w:color="auto" w:fill="FFFFFF"/>
        </w:rPr>
        <w:t xml:space="preserve"> </w:t>
      </w:r>
      <w:r w:rsidR="008F1220">
        <w:rPr>
          <w:rFonts w:cstheme="minorHAnsi"/>
          <w:shd w:val="clear" w:color="auto" w:fill="FFFFFF"/>
        </w:rPr>
        <w:t>provisions</w:t>
      </w:r>
      <w:r w:rsidR="001E5BD1" w:rsidRPr="00CF264B">
        <w:rPr>
          <w:rFonts w:cstheme="minorHAnsi"/>
          <w:shd w:val="clear" w:color="auto" w:fill="FFFFFF"/>
        </w:rPr>
        <w:t>.</w:t>
      </w:r>
      <w:r w:rsidR="00F94FEE" w:rsidRPr="00CF264B">
        <w:rPr>
          <w:rStyle w:val="FootnoteReference"/>
          <w:rFonts w:cstheme="minorHAnsi"/>
          <w:shd w:val="clear" w:color="auto" w:fill="FFFFFF"/>
        </w:rPr>
        <w:footnoteReference w:id="8"/>
      </w:r>
      <w:r w:rsidR="001E5BD1" w:rsidRPr="00CF264B">
        <w:rPr>
          <w:rFonts w:cstheme="minorHAnsi"/>
          <w:shd w:val="clear" w:color="auto" w:fill="FFFFFF"/>
        </w:rPr>
        <w:t xml:space="preserve"> The </w:t>
      </w:r>
      <w:r w:rsidR="00A43E07" w:rsidRPr="00CF264B">
        <w:rPr>
          <w:rFonts w:cstheme="minorHAnsi"/>
          <w:shd w:val="clear" w:color="auto" w:fill="FFFFFF"/>
        </w:rPr>
        <w:t>sections,</w:t>
      </w:r>
      <w:r w:rsidR="001E5BD1" w:rsidRPr="00CF264B">
        <w:rPr>
          <w:rFonts w:cstheme="minorHAnsi"/>
          <w:shd w:val="clear" w:color="auto" w:fill="FFFFFF"/>
        </w:rPr>
        <w:t xml:space="preserve"> however, do not impose a </w:t>
      </w:r>
      <w:r w:rsidR="00A43E07" w:rsidRPr="00CF264B">
        <w:rPr>
          <w:rFonts w:cstheme="minorHAnsi"/>
          <w:shd w:val="clear" w:color="auto" w:fill="FFFFFF"/>
        </w:rPr>
        <w:t>‘p</w:t>
      </w:r>
      <w:r w:rsidR="001E5BD1" w:rsidRPr="00CF264B">
        <w:rPr>
          <w:rFonts w:cstheme="minorHAnsi"/>
          <w:shd w:val="clear" w:color="auto" w:fill="FFFFFF"/>
        </w:rPr>
        <w:t>ositive duty</w:t>
      </w:r>
      <w:r w:rsidR="00A43E07" w:rsidRPr="00CF264B">
        <w:rPr>
          <w:rFonts w:cstheme="minorHAnsi"/>
          <w:shd w:val="clear" w:color="auto" w:fill="FFFFFF"/>
        </w:rPr>
        <w:t>’</w:t>
      </w:r>
      <w:r w:rsidR="001E5BD1" w:rsidRPr="00CF264B">
        <w:rPr>
          <w:rFonts w:cstheme="minorHAnsi"/>
          <w:shd w:val="clear" w:color="auto" w:fill="FFFFFF"/>
        </w:rPr>
        <w:t xml:space="preserve"> to provide </w:t>
      </w:r>
      <w:r w:rsidRPr="00CF264B">
        <w:rPr>
          <w:rFonts w:cstheme="minorHAnsi"/>
          <w:shd w:val="clear" w:color="auto" w:fill="FFFFFF"/>
        </w:rPr>
        <w:t>reasonable accommodation,</w:t>
      </w:r>
      <w:r w:rsidR="001E5BD1" w:rsidRPr="00CF264B">
        <w:rPr>
          <w:rFonts w:cstheme="minorHAnsi"/>
          <w:shd w:val="clear" w:color="auto" w:fill="FFFFFF"/>
        </w:rPr>
        <w:t xml:space="preserve"> only that a </w:t>
      </w:r>
      <w:r w:rsidR="00652353" w:rsidRPr="00CF264B">
        <w:rPr>
          <w:rFonts w:cstheme="minorHAnsi"/>
          <w:shd w:val="clear" w:color="auto" w:fill="FFFFFF"/>
        </w:rPr>
        <w:t>denial</w:t>
      </w:r>
      <w:r w:rsidR="001E5BD1" w:rsidRPr="00CF264B">
        <w:rPr>
          <w:rFonts w:cstheme="minorHAnsi"/>
          <w:shd w:val="clear" w:color="auto" w:fill="FFFFFF"/>
        </w:rPr>
        <w:t xml:space="preserve"> of </w:t>
      </w:r>
      <w:r w:rsidRPr="00CF264B">
        <w:rPr>
          <w:rFonts w:cstheme="minorHAnsi"/>
          <w:shd w:val="clear" w:color="auto" w:fill="FFFFFF"/>
        </w:rPr>
        <w:t>reasonable accommodation</w:t>
      </w:r>
      <w:r w:rsidR="00652353" w:rsidRPr="00CF264B">
        <w:rPr>
          <w:rFonts w:cstheme="minorHAnsi"/>
          <w:shd w:val="clear" w:color="auto" w:fill="FFFFFF"/>
        </w:rPr>
        <w:t xml:space="preserve"> </w:t>
      </w:r>
      <w:r w:rsidR="001E5BD1" w:rsidRPr="00CF264B">
        <w:rPr>
          <w:rFonts w:cstheme="minorHAnsi"/>
          <w:shd w:val="clear" w:color="auto" w:fill="FFFFFF"/>
        </w:rPr>
        <w:t xml:space="preserve">may </w:t>
      </w:r>
      <w:r w:rsidR="00014BED">
        <w:rPr>
          <w:rFonts w:cstheme="minorHAnsi"/>
          <w:shd w:val="clear" w:color="auto" w:fill="FFFFFF"/>
        </w:rPr>
        <w:t xml:space="preserve">lead to a </w:t>
      </w:r>
      <w:r w:rsidR="001E5BD1" w:rsidRPr="00CF264B">
        <w:rPr>
          <w:rFonts w:cstheme="minorHAnsi"/>
          <w:shd w:val="clear" w:color="auto" w:fill="FFFFFF"/>
        </w:rPr>
        <w:t xml:space="preserve">disability discrimination complaint. </w:t>
      </w:r>
    </w:p>
    <w:p w14:paraId="053FB225" w14:textId="4E39BAB0" w:rsidR="00A43E07" w:rsidRPr="00CF264B" w:rsidRDefault="00014BED" w:rsidP="00014BED">
      <w:pPr>
        <w:jc w:val="both"/>
        <w:rPr>
          <w:rFonts w:cstheme="minorHAnsi"/>
          <w:shd w:val="clear" w:color="auto" w:fill="FFFFFF"/>
        </w:rPr>
      </w:pPr>
      <w:r>
        <w:rPr>
          <w:rFonts w:cstheme="minorHAnsi"/>
          <w:shd w:val="clear" w:color="auto" w:fill="FFFFFF"/>
        </w:rPr>
        <w:t>A r</w:t>
      </w:r>
      <w:r w:rsidR="00A43E07" w:rsidRPr="00CF264B">
        <w:rPr>
          <w:rFonts w:cstheme="minorHAnsi"/>
          <w:shd w:val="clear" w:color="auto" w:fill="FFFFFF"/>
        </w:rPr>
        <w:t xml:space="preserve">easonable accommodation </w:t>
      </w:r>
      <w:r>
        <w:rPr>
          <w:rFonts w:cstheme="minorHAnsi"/>
          <w:shd w:val="clear" w:color="auto" w:fill="FFFFFF"/>
        </w:rPr>
        <w:t xml:space="preserve">complaint is </w:t>
      </w:r>
      <w:r w:rsidR="00A43E07" w:rsidRPr="00CF264B">
        <w:rPr>
          <w:rFonts w:cstheme="minorHAnsi"/>
          <w:shd w:val="clear" w:color="auto" w:fill="FFFFFF"/>
        </w:rPr>
        <w:t>also a</w:t>
      </w:r>
      <w:r>
        <w:rPr>
          <w:rFonts w:cstheme="minorHAnsi"/>
          <w:shd w:val="clear" w:color="auto" w:fill="FFFFFF"/>
        </w:rPr>
        <w:t xml:space="preserve">n action </w:t>
      </w:r>
      <w:r w:rsidR="00670F76" w:rsidRPr="00CF264B">
        <w:rPr>
          <w:rFonts w:cstheme="minorHAnsi"/>
          <w:shd w:val="clear" w:color="auto" w:fill="FFFFFF"/>
        </w:rPr>
        <w:t>that applies</w:t>
      </w:r>
      <w:r w:rsidR="0032385F" w:rsidRPr="00CF264B">
        <w:rPr>
          <w:rFonts w:cstheme="minorHAnsi"/>
          <w:shd w:val="clear" w:color="auto" w:fill="FFFFFF"/>
        </w:rPr>
        <w:t xml:space="preserve"> primarily</w:t>
      </w:r>
      <w:r w:rsidR="00670F76" w:rsidRPr="00CF264B">
        <w:rPr>
          <w:rFonts w:cstheme="minorHAnsi"/>
          <w:shd w:val="clear" w:color="auto" w:fill="FFFFFF"/>
        </w:rPr>
        <w:t xml:space="preserve"> to individuals. A series of </w:t>
      </w:r>
      <w:r w:rsidR="00525F64" w:rsidRPr="00CF264B">
        <w:rPr>
          <w:rFonts w:cstheme="minorHAnsi"/>
          <w:shd w:val="clear" w:color="auto" w:fill="FFFFFF"/>
        </w:rPr>
        <w:t>reasonable accommodation</w:t>
      </w:r>
      <w:r w:rsidR="00670F76" w:rsidRPr="00CF264B">
        <w:rPr>
          <w:rFonts w:cstheme="minorHAnsi"/>
          <w:shd w:val="clear" w:color="auto" w:fill="FFFFFF"/>
        </w:rPr>
        <w:t xml:space="preserve"> measures for individuals – particularly if these must be enforced through complaints under the HRA - is not an appropriate replacement for widespread </w:t>
      </w:r>
      <w:r w:rsidR="0032385F" w:rsidRPr="00CF264B">
        <w:rPr>
          <w:rFonts w:cstheme="minorHAnsi"/>
          <w:shd w:val="clear" w:color="auto" w:fill="FFFFFF"/>
        </w:rPr>
        <w:t xml:space="preserve">or systemic </w:t>
      </w:r>
      <w:r w:rsidR="00670F76" w:rsidRPr="00CF264B">
        <w:rPr>
          <w:rFonts w:cstheme="minorHAnsi"/>
          <w:shd w:val="clear" w:color="auto" w:fill="FFFFFF"/>
        </w:rPr>
        <w:t xml:space="preserve">accessibility measures. </w:t>
      </w:r>
    </w:p>
    <w:p w14:paraId="5F03B049" w14:textId="5BC3E40C" w:rsidR="00073225" w:rsidRPr="00CF264B" w:rsidRDefault="00B54A0E" w:rsidP="00014BED">
      <w:pPr>
        <w:jc w:val="both"/>
        <w:rPr>
          <w:rFonts w:cstheme="minorHAnsi"/>
          <w:shd w:val="clear" w:color="auto" w:fill="FFFFFF"/>
        </w:rPr>
      </w:pPr>
      <w:r w:rsidRPr="00CF264B">
        <w:rPr>
          <w:rFonts w:cstheme="minorHAnsi"/>
          <w:shd w:val="clear" w:color="auto" w:fill="FFFFFF"/>
        </w:rPr>
        <w:t xml:space="preserve">The </w:t>
      </w:r>
      <w:r w:rsidR="00525F64" w:rsidRPr="00CF264B">
        <w:rPr>
          <w:rFonts w:cstheme="minorHAnsi"/>
          <w:shd w:val="clear" w:color="auto" w:fill="FFFFFF"/>
        </w:rPr>
        <w:t xml:space="preserve">disability </w:t>
      </w:r>
      <w:r w:rsidRPr="00CF264B">
        <w:rPr>
          <w:rFonts w:cstheme="minorHAnsi"/>
          <w:shd w:val="clear" w:color="auto" w:fill="FFFFFF"/>
        </w:rPr>
        <w:t>discrimination and provisions under the HRA have therefore shown themselves to be ineffective at addressing accessibility for disabled people.</w:t>
      </w:r>
      <w:r w:rsidR="00014BED">
        <w:rPr>
          <w:rFonts w:cstheme="minorHAnsi"/>
          <w:shd w:val="clear" w:color="auto" w:fill="FFFFFF"/>
        </w:rPr>
        <w:t xml:space="preserve"> They do not provide a coherent or systematic process for progress towards removal of barriers and increased accessibility. </w:t>
      </w:r>
    </w:p>
    <w:p w14:paraId="7EAF7762" w14:textId="77777777" w:rsidR="00E8385F" w:rsidRDefault="00E8385F">
      <w:pPr>
        <w:rPr>
          <w:rFonts w:cstheme="minorHAnsi"/>
          <w:b/>
          <w:bCs/>
          <w:shd w:val="clear" w:color="auto" w:fill="FFFFFF"/>
        </w:rPr>
      </w:pPr>
    </w:p>
    <w:p w14:paraId="5192D4FA" w14:textId="2E1BE1BA" w:rsidR="00CC26A6" w:rsidRPr="00CF264B" w:rsidRDefault="00792CCD" w:rsidP="00C754E3">
      <w:pPr>
        <w:pStyle w:val="Heading1"/>
        <w:rPr>
          <w:b w:val="0"/>
          <w:shd w:val="clear" w:color="auto" w:fill="FFFFFF"/>
        </w:rPr>
      </w:pPr>
      <w:r w:rsidRPr="00CF264B">
        <w:rPr>
          <w:shd w:val="clear" w:color="auto" w:fill="FFFFFF"/>
        </w:rPr>
        <w:t xml:space="preserve">4. </w:t>
      </w:r>
      <w:r w:rsidR="00073225" w:rsidRPr="00CF264B">
        <w:rPr>
          <w:shd w:val="clear" w:color="auto" w:fill="FFFFFF"/>
        </w:rPr>
        <w:t>Developments</w:t>
      </w:r>
      <w:r w:rsidR="00B54A0E" w:rsidRPr="00CF264B">
        <w:rPr>
          <w:shd w:val="clear" w:color="auto" w:fill="FFFFFF"/>
        </w:rPr>
        <w:t xml:space="preserve"> </w:t>
      </w:r>
    </w:p>
    <w:p w14:paraId="04EC50AD" w14:textId="5AF8FCDD" w:rsidR="005C2801" w:rsidRPr="00CF264B" w:rsidRDefault="000961DE" w:rsidP="00B10FF9">
      <w:pPr>
        <w:jc w:val="both"/>
        <w:rPr>
          <w:rFonts w:cstheme="minorHAnsi"/>
          <w:shd w:val="clear" w:color="auto" w:fill="FFFFFF"/>
        </w:rPr>
      </w:pPr>
      <w:r w:rsidRPr="00CF264B">
        <w:rPr>
          <w:rFonts w:cstheme="minorHAnsi"/>
          <w:shd w:val="clear" w:color="auto" w:fill="FFFFFF"/>
        </w:rPr>
        <w:t>The 1993 HRA precede</w:t>
      </w:r>
      <w:r w:rsidR="00D151A7" w:rsidRPr="00CF264B">
        <w:rPr>
          <w:rFonts w:cstheme="minorHAnsi"/>
          <w:shd w:val="clear" w:color="auto" w:fill="FFFFFF"/>
        </w:rPr>
        <w:t>d</w:t>
      </w:r>
      <w:r w:rsidRPr="00CF264B">
        <w:rPr>
          <w:rFonts w:cstheme="minorHAnsi"/>
          <w:shd w:val="clear" w:color="auto" w:fill="FFFFFF"/>
        </w:rPr>
        <w:t xml:space="preserve"> several major developments </w:t>
      </w:r>
      <w:r w:rsidR="00014BED" w:rsidRPr="00CF264B">
        <w:rPr>
          <w:rFonts w:cstheme="minorHAnsi"/>
          <w:shd w:val="clear" w:color="auto" w:fill="FFFFFF"/>
        </w:rPr>
        <w:t>in</w:t>
      </w:r>
      <w:r w:rsidRPr="00CF264B">
        <w:rPr>
          <w:rFonts w:cstheme="minorHAnsi"/>
          <w:shd w:val="clear" w:color="auto" w:fill="FFFFFF"/>
        </w:rPr>
        <w:t xml:space="preserve"> disability rights and accessibility, primarily the CRPD which NZ ratified in 2008. </w:t>
      </w:r>
      <w:r w:rsidR="008D2696" w:rsidRPr="00CF264B">
        <w:rPr>
          <w:rFonts w:cstheme="minorHAnsi"/>
          <w:shd w:val="clear" w:color="auto" w:fill="FFFFFF"/>
        </w:rPr>
        <w:t xml:space="preserve">The CRPD is based on the social model of disability and puts the onus of removal of barriers on the State, rather than individuals. Specifically, </w:t>
      </w:r>
      <w:r w:rsidR="005C2801" w:rsidRPr="00CF264B">
        <w:rPr>
          <w:rFonts w:cstheme="minorHAnsi"/>
          <w:shd w:val="clear" w:color="auto" w:fill="FFFFFF"/>
        </w:rPr>
        <w:t xml:space="preserve">Article 9 clearly sets out an obligation on States Parties </w:t>
      </w:r>
      <w:r w:rsidR="005C2801" w:rsidRPr="00CF264B">
        <w:rPr>
          <w:rFonts w:cstheme="minorHAnsi"/>
          <w:shd w:val="clear" w:color="auto" w:fill="FFFFFF"/>
        </w:rPr>
        <w:lastRenderedPageBreak/>
        <w:t xml:space="preserve">to take </w:t>
      </w:r>
      <w:r w:rsidR="00B10FF9" w:rsidRPr="00CF264B">
        <w:rPr>
          <w:rFonts w:cstheme="minorHAnsi"/>
          <w:shd w:val="clear" w:color="auto" w:fill="FFFFFF"/>
        </w:rPr>
        <w:t xml:space="preserve">action </w:t>
      </w:r>
      <w:r w:rsidR="005C2801" w:rsidRPr="00CF264B">
        <w:rPr>
          <w:rFonts w:cstheme="minorHAnsi"/>
          <w:shd w:val="clear" w:color="auto" w:fill="FFFFFF"/>
        </w:rPr>
        <w:t>to ensure that persons with disabilities are afforded equal access within a number of domains</w:t>
      </w:r>
      <w:r w:rsidR="008D2696" w:rsidRPr="00CF264B">
        <w:rPr>
          <w:rFonts w:cstheme="minorHAnsi"/>
          <w:shd w:val="clear" w:color="auto" w:fill="FFFFFF"/>
        </w:rPr>
        <w:t>.</w:t>
      </w:r>
      <w:r w:rsidR="00F13ADE" w:rsidRPr="00CF264B">
        <w:rPr>
          <w:rStyle w:val="FootnoteReference"/>
          <w:rFonts w:cstheme="minorHAnsi"/>
          <w:shd w:val="clear" w:color="auto" w:fill="FFFFFF"/>
        </w:rPr>
        <w:footnoteReference w:id="9"/>
      </w:r>
    </w:p>
    <w:p w14:paraId="3E48AD33" w14:textId="2AF53728" w:rsidR="008D2696" w:rsidRPr="00CF264B" w:rsidRDefault="00B55DDE" w:rsidP="00B10FF9">
      <w:pPr>
        <w:jc w:val="both"/>
        <w:rPr>
          <w:rFonts w:cstheme="minorHAnsi"/>
          <w:shd w:val="clear" w:color="auto" w:fill="FFFFFF"/>
        </w:rPr>
      </w:pPr>
      <w:r>
        <w:rPr>
          <w:rFonts w:cstheme="minorHAnsi"/>
          <w:shd w:val="clear" w:color="auto" w:fill="FFFFFF"/>
        </w:rPr>
        <w:t xml:space="preserve">The </w:t>
      </w:r>
      <w:r w:rsidR="008D2696" w:rsidRPr="00CF264B">
        <w:rPr>
          <w:rFonts w:cstheme="minorHAnsi"/>
          <w:shd w:val="clear" w:color="auto" w:fill="FFFFFF"/>
        </w:rPr>
        <w:t xml:space="preserve">CRPD makes it clear that States must work to ensure accessibility </w:t>
      </w:r>
      <w:r w:rsidR="00B10FF9" w:rsidRPr="00CF264B">
        <w:rPr>
          <w:rFonts w:cstheme="minorHAnsi"/>
          <w:shd w:val="clear" w:color="auto" w:fill="FFFFFF"/>
        </w:rPr>
        <w:t>into the future</w:t>
      </w:r>
      <w:r w:rsidR="008D2696" w:rsidRPr="00CF264B">
        <w:rPr>
          <w:rFonts w:cstheme="minorHAnsi"/>
          <w:shd w:val="clear" w:color="auto" w:fill="FFFFFF"/>
        </w:rPr>
        <w:t>. There is also the obligation</w:t>
      </w:r>
      <w:r w:rsidR="00B10FF9" w:rsidRPr="00CF264B">
        <w:rPr>
          <w:rFonts w:cstheme="minorHAnsi"/>
          <w:shd w:val="clear" w:color="auto" w:fill="FFFFFF"/>
        </w:rPr>
        <w:t>,</w:t>
      </w:r>
      <w:r w:rsidR="008D2696" w:rsidRPr="00CF264B">
        <w:rPr>
          <w:rFonts w:cstheme="minorHAnsi"/>
          <w:shd w:val="clear" w:color="auto" w:fill="FFFFFF"/>
        </w:rPr>
        <w:t xml:space="preserve"> however</w:t>
      </w:r>
      <w:r w:rsidR="00B10FF9" w:rsidRPr="00CF264B">
        <w:rPr>
          <w:rFonts w:cstheme="minorHAnsi"/>
          <w:shd w:val="clear" w:color="auto" w:fill="FFFFFF"/>
        </w:rPr>
        <w:t>,</w:t>
      </w:r>
      <w:r w:rsidR="008D2696" w:rsidRPr="00CF264B">
        <w:rPr>
          <w:rFonts w:cstheme="minorHAnsi"/>
          <w:shd w:val="clear" w:color="auto" w:fill="FFFFFF"/>
        </w:rPr>
        <w:t xml:space="preserve"> to identify and remove </w:t>
      </w:r>
      <w:r w:rsidR="008D2696" w:rsidRPr="00CF264B">
        <w:rPr>
          <w:rFonts w:cstheme="minorHAnsi"/>
          <w:i/>
          <w:iCs/>
          <w:shd w:val="clear" w:color="auto" w:fill="FFFFFF"/>
        </w:rPr>
        <w:t>existing</w:t>
      </w:r>
      <w:r w:rsidR="008D2696" w:rsidRPr="00CF264B">
        <w:rPr>
          <w:rFonts w:cstheme="minorHAnsi"/>
          <w:shd w:val="clear" w:color="auto" w:fill="FFFFFF"/>
        </w:rPr>
        <w:t xml:space="preserve"> barriers. This </w:t>
      </w:r>
      <w:r w:rsidR="00B10FF9" w:rsidRPr="00CF264B">
        <w:rPr>
          <w:rFonts w:cstheme="minorHAnsi"/>
          <w:shd w:val="clear" w:color="auto" w:fill="FFFFFF"/>
        </w:rPr>
        <w:t>applies not only to the public sector, but also</w:t>
      </w:r>
      <w:r w:rsidR="001D4913" w:rsidRPr="00CF264B">
        <w:rPr>
          <w:rFonts w:cstheme="minorHAnsi"/>
          <w:shd w:val="clear" w:color="auto" w:fill="FFFFFF"/>
        </w:rPr>
        <w:t xml:space="preserve"> </w:t>
      </w:r>
      <w:r w:rsidR="00B10FF9" w:rsidRPr="00CF264B">
        <w:rPr>
          <w:rFonts w:cstheme="minorHAnsi"/>
          <w:shd w:val="clear" w:color="auto" w:fill="FFFFFF"/>
        </w:rPr>
        <w:t xml:space="preserve">to the private sector in some circumstances. </w:t>
      </w:r>
    </w:p>
    <w:p w14:paraId="3CF01C01" w14:textId="258C5057" w:rsidR="00B10FF9" w:rsidRPr="00CF264B" w:rsidRDefault="00B10FF9" w:rsidP="00B10FF9">
      <w:pPr>
        <w:jc w:val="both"/>
        <w:rPr>
          <w:rFonts w:cstheme="minorHAnsi"/>
          <w:shd w:val="clear" w:color="auto" w:fill="FFFFFF"/>
        </w:rPr>
      </w:pPr>
      <w:r w:rsidRPr="00CF264B">
        <w:rPr>
          <w:rFonts w:cstheme="minorHAnsi"/>
          <w:shd w:val="clear" w:color="auto" w:fill="FFFFFF"/>
        </w:rPr>
        <w:t xml:space="preserve">Article 9 does not specifically require that this process be undertaken through legislation. It requires parties to take “appropriate measures” </w:t>
      </w:r>
      <w:r w:rsidR="001D4913" w:rsidRPr="00CF264B">
        <w:rPr>
          <w:rFonts w:cstheme="minorHAnsi"/>
          <w:shd w:val="clear" w:color="auto" w:fill="FFFFFF"/>
        </w:rPr>
        <w:t xml:space="preserve">to ensure accessibility. </w:t>
      </w:r>
    </w:p>
    <w:p w14:paraId="15868D23" w14:textId="3074C3EA" w:rsidR="00CC26A6" w:rsidRPr="00CF264B" w:rsidRDefault="001D4913" w:rsidP="00400E24">
      <w:pPr>
        <w:jc w:val="both"/>
        <w:rPr>
          <w:rFonts w:cstheme="minorHAnsi"/>
          <w:shd w:val="clear" w:color="auto" w:fill="FFFFFF"/>
        </w:rPr>
      </w:pPr>
      <w:r w:rsidRPr="00CF264B">
        <w:rPr>
          <w:rFonts w:cstheme="minorHAnsi"/>
          <w:shd w:val="clear" w:color="auto" w:fill="FFFFFF"/>
        </w:rPr>
        <w:t>In Aotearoa New Zealand</w:t>
      </w:r>
      <w:r w:rsidR="000961DE" w:rsidRPr="00CF264B">
        <w:rPr>
          <w:rFonts w:cstheme="minorHAnsi"/>
          <w:shd w:val="clear" w:color="auto" w:fill="FFFFFF"/>
        </w:rPr>
        <w:t xml:space="preserve"> </w:t>
      </w:r>
      <w:r w:rsidRPr="00CF264B">
        <w:rPr>
          <w:rFonts w:cstheme="minorHAnsi"/>
          <w:shd w:val="clear" w:color="auto" w:fill="FFFFFF"/>
        </w:rPr>
        <w:t xml:space="preserve">a </w:t>
      </w:r>
      <w:r w:rsidR="000961DE" w:rsidRPr="00CF264B">
        <w:rPr>
          <w:rFonts w:cstheme="minorHAnsi"/>
          <w:shd w:val="clear" w:color="auto" w:fill="FFFFFF"/>
        </w:rPr>
        <w:t xml:space="preserve">variety of </w:t>
      </w:r>
      <w:r w:rsidR="003D3BDF" w:rsidRPr="00CF264B">
        <w:rPr>
          <w:rFonts w:cstheme="minorHAnsi"/>
          <w:shd w:val="clear" w:color="auto" w:fill="FFFFFF"/>
        </w:rPr>
        <w:t xml:space="preserve">disability-related measures </w:t>
      </w:r>
      <w:r w:rsidRPr="00CF264B">
        <w:rPr>
          <w:rFonts w:cstheme="minorHAnsi"/>
          <w:shd w:val="clear" w:color="auto" w:fill="FFFFFF"/>
        </w:rPr>
        <w:t xml:space="preserve">followed </w:t>
      </w:r>
      <w:r w:rsidR="003D3BDF" w:rsidRPr="00CF264B">
        <w:rPr>
          <w:rFonts w:cstheme="minorHAnsi"/>
          <w:shd w:val="clear" w:color="auto" w:fill="FFFFFF"/>
        </w:rPr>
        <w:t>ratification of</w:t>
      </w:r>
      <w:r w:rsidR="000961DE" w:rsidRPr="00CF264B">
        <w:rPr>
          <w:rFonts w:cstheme="minorHAnsi"/>
          <w:shd w:val="clear" w:color="auto" w:fill="FFFFFF"/>
        </w:rPr>
        <w:t xml:space="preserve"> </w:t>
      </w:r>
      <w:r w:rsidR="00B55DDE">
        <w:rPr>
          <w:rFonts w:cstheme="minorHAnsi"/>
          <w:shd w:val="clear" w:color="auto" w:fill="FFFFFF"/>
        </w:rPr>
        <w:t xml:space="preserve">the </w:t>
      </w:r>
      <w:r w:rsidR="00F13ADE" w:rsidRPr="00CF264B">
        <w:rPr>
          <w:rFonts w:cstheme="minorHAnsi"/>
          <w:shd w:val="clear" w:color="auto" w:fill="FFFFFF"/>
        </w:rPr>
        <w:t>CRPD, including</w:t>
      </w:r>
      <w:r w:rsidR="003D3BDF" w:rsidRPr="00CF264B">
        <w:rPr>
          <w:rFonts w:cstheme="minorHAnsi"/>
          <w:shd w:val="clear" w:color="auto" w:fill="FFFFFF"/>
        </w:rPr>
        <w:t xml:space="preserve"> the </w:t>
      </w:r>
      <w:r w:rsidR="00243128">
        <w:rPr>
          <w:rFonts w:cstheme="minorHAnsi"/>
          <w:shd w:val="clear" w:color="auto" w:fill="FFFFFF"/>
        </w:rPr>
        <w:t xml:space="preserve">updated New Zealand </w:t>
      </w:r>
      <w:r w:rsidR="003D3BDF" w:rsidRPr="00CF264B">
        <w:rPr>
          <w:rFonts w:cstheme="minorHAnsi"/>
          <w:shd w:val="clear" w:color="auto" w:fill="FFFFFF"/>
        </w:rPr>
        <w:t>Disability Strategy</w:t>
      </w:r>
      <w:r w:rsidR="00B67346">
        <w:rPr>
          <w:rFonts w:cstheme="minorHAnsi"/>
          <w:shd w:val="clear" w:color="auto" w:fill="FFFFFF"/>
        </w:rPr>
        <w:t>,</w:t>
      </w:r>
      <w:r w:rsidR="00243128">
        <w:rPr>
          <w:rStyle w:val="FootnoteReference"/>
          <w:rFonts w:cstheme="minorHAnsi"/>
          <w:shd w:val="clear" w:color="auto" w:fill="FFFFFF"/>
        </w:rPr>
        <w:footnoteReference w:id="10"/>
      </w:r>
      <w:r w:rsidR="003D3BDF" w:rsidRPr="00CF264B">
        <w:rPr>
          <w:rFonts w:cstheme="minorHAnsi"/>
          <w:shd w:val="clear" w:color="auto" w:fill="FFFFFF"/>
        </w:rPr>
        <w:t xml:space="preserve"> </w:t>
      </w:r>
      <w:r w:rsidR="00F4475D">
        <w:rPr>
          <w:rFonts w:cstheme="minorHAnsi"/>
          <w:shd w:val="clear" w:color="auto" w:fill="FFFFFF"/>
        </w:rPr>
        <w:t xml:space="preserve">the iterations of the </w:t>
      </w:r>
      <w:r w:rsidR="003D3BDF" w:rsidRPr="00CF264B">
        <w:rPr>
          <w:rFonts w:cstheme="minorHAnsi"/>
          <w:shd w:val="clear" w:color="auto" w:fill="FFFFFF"/>
        </w:rPr>
        <w:t xml:space="preserve">Disability Action </w:t>
      </w:r>
      <w:r w:rsidR="00014BED" w:rsidRPr="00CF264B">
        <w:rPr>
          <w:rFonts w:cstheme="minorHAnsi"/>
          <w:shd w:val="clear" w:color="auto" w:fill="FFFFFF"/>
        </w:rPr>
        <w:t>Plan</w:t>
      </w:r>
      <w:r w:rsidR="00B67346">
        <w:rPr>
          <w:rFonts w:cstheme="minorHAnsi"/>
          <w:shd w:val="clear" w:color="auto" w:fill="FFFFFF"/>
        </w:rPr>
        <w:t>,</w:t>
      </w:r>
      <w:r w:rsidR="00B43921">
        <w:rPr>
          <w:rStyle w:val="FootnoteReference"/>
          <w:rFonts w:cstheme="minorHAnsi"/>
          <w:shd w:val="clear" w:color="auto" w:fill="FFFFFF"/>
        </w:rPr>
        <w:footnoteReference w:id="11"/>
      </w:r>
      <w:r w:rsidR="003D3BDF" w:rsidRPr="00CF264B">
        <w:rPr>
          <w:rFonts w:cstheme="minorHAnsi"/>
          <w:shd w:val="clear" w:color="auto" w:fill="FFFFFF"/>
        </w:rPr>
        <w:t xml:space="preserve"> and </w:t>
      </w:r>
      <w:r w:rsidR="00CF0A13">
        <w:rPr>
          <w:rFonts w:cstheme="minorHAnsi"/>
          <w:shd w:val="clear" w:color="auto" w:fill="FFFFFF"/>
        </w:rPr>
        <w:t>t</w:t>
      </w:r>
      <w:r w:rsidR="003D3BDF" w:rsidRPr="00CF264B">
        <w:rPr>
          <w:rFonts w:cstheme="minorHAnsi"/>
          <w:shd w:val="clear" w:color="auto" w:fill="FFFFFF"/>
        </w:rPr>
        <w:t>he Accessibility Charter</w:t>
      </w:r>
      <w:r w:rsidR="00B67346">
        <w:rPr>
          <w:rFonts w:cstheme="minorHAnsi"/>
          <w:shd w:val="clear" w:color="auto" w:fill="FFFFFF"/>
        </w:rPr>
        <w:t>.</w:t>
      </w:r>
      <w:r w:rsidR="00CF0A13">
        <w:rPr>
          <w:rStyle w:val="FootnoteReference"/>
          <w:rFonts w:cstheme="minorHAnsi"/>
          <w:shd w:val="clear" w:color="auto" w:fill="FFFFFF"/>
        </w:rPr>
        <w:footnoteReference w:id="12"/>
      </w:r>
      <w:r w:rsidR="003D3BDF" w:rsidRPr="00CF264B">
        <w:rPr>
          <w:rFonts w:cstheme="minorHAnsi"/>
          <w:shd w:val="clear" w:color="auto" w:fill="FFFFFF"/>
        </w:rPr>
        <w:t xml:space="preserve"> Although these documents provide</w:t>
      </w:r>
      <w:r w:rsidR="00E8385F">
        <w:rPr>
          <w:rFonts w:cstheme="minorHAnsi"/>
          <w:shd w:val="clear" w:color="auto" w:fill="FFFFFF"/>
        </w:rPr>
        <w:t>d</w:t>
      </w:r>
      <w:r w:rsidR="003D3BDF" w:rsidRPr="00CF264B">
        <w:rPr>
          <w:rFonts w:cstheme="minorHAnsi"/>
          <w:shd w:val="clear" w:color="auto" w:fill="FFFFFF"/>
        </w:rPr>
        <w:t xml:space="preserve"> direction for accessibility </w:t>
      </w:r>
      <w:r w:rsidR="00FC7172" w:rsidRPr="00CF264B">
        <w:rPr>
          <w:rFonts w:cstheme="minorHAnsi"/>
          <w:shd w:val="clear" w:color="auto" w:fill="FFFFFF"/>
        </w:rPr>
        <w:t xml:space="preserve">measures </w:t>
      </w:r>
      <w:r w:rsidR="003D3BDF" w:rsidRPr="00CF264B">
        <w:rPr>
          <w:rFonts w:cstheme="minorHAnsi"/>
          <w:shd w:val="clear" w:color="auto" w:fill="FFFFFF"/>
        </w:rPr>
        <w:t>in the public sector</w:t>
      </w:r>
      <w:r w:rsidR="00B67346">
        <w:rPr>
          <w:rFonts w:cstheme="minorHAnsi"/>
          <w:shd w:val="clear" w:color="auto" w:fill="FFFFFF"/>
        </w:rPr>
        <w:t>,</w:t>
      </w:r>
      <w:r w:rsidR="003D3BDF" w:rsidRPr="00CF264B">
        <w:rPr>
          <w:rStyle w:val="FootnoteReference"/>
          <w:rFonts w:cstheme="minorHAnsi"/>
          <w:shd w:val="clear" w:color="auto" w:fill="FFFFFF"/>
        </w:rPr>
        <w:footnoteReference w:id="13"/>
      </w:r>
      <w:r w:rsidR="003D3BDF" w:rsidRPr="00CF264B">
        <w:rPr>
          <w:rFonts w:cstheme="minorHAnsi"/>
          <w:shd w:val="clear" w:color="auto" w:fill="FFFFFF"/>
        </w:rPr>
        <w:t xml:space="preserve"> </w:t>
      </w:r>
      <w:r w:rsidR="00FC7172" w:rsidRPr="00CF264B">
        <w:rPr>
          <w:rFonts w:cstheme="minorHAnsi"/>
          <w:shd w:val="clear" w:color="auto" w:fill="FFFFFF"/>
        </w:rPr>
        <w:t>they d</w:t>
      </w:r>
      <w:r w:rsidR="00E8385F">
        <w:rPr>
          <w:rFonts w:cstheme="minorHAnsi"/>
          <w:shd w:val="clear" w:color="auto" w:fill="FFFFFF"/>
        </w:rPr>
        <w:t>id</w:t>
      </w:r>
      <w:r w:rsidR="00FC7172" w:rsidRPr="00CF264B">
        <w:rPr>
          <w:rFonts w:cstheme="minorHAnsi"/>
          <w:shd w:val="clear" w:color="auto" w:fill="FFFFFF"/>
        </w:rPr>
        <w:t xml:space="preserve"> not provide an enforceable pathway for the removal of barriers. </w:t>
      </w:r>
      <w:r w:rsidRPr="00CF264B">
        <w:rPr>
          <w:rFonts w:cstheme="minorHAnsi"/>
          <w:shd w:val="clear" w:color="auto" w:fill="FFFFFF"/>
        </w:rPr>
        <w:t>Although a start, arguably they d</w:t>
      </w:r>
      <w:r w:rsidR="00E8385F">
        <w:rPr>
          <w:rFonts w:cstheme="minorHAnsi"/>
          <w:shd w:val="clear" w:color="auto" w:fill="FFFFFF"/>
        </w:rPr>
        <w:t>id</w:t>
      </w:r>
      <w:r w:rsidRPr="00CF264B">
        <w:rPr>
          <w:rFonts w:cstheme="minorHAnsi"/>
          <w:shd w:val="clear" w:color="auto" w:fill="FFFFFF"/>
        </w:rPr>
        <w:t xml:space="preserve"> not constitute “appropriate measures” toward accessibility as required by Article 9. </w:t>
      </w:r>
    </w:p>
    <w:p w14:paraId="3446D2A3" w14:textId="1D099429" w:rsidR="00336ED8" w:rsidRPr="00CF264B" w:rsidRDefault="00400E24" w:rsidP="00400E24">
      <w:pPr>
        <w:jc w:val="both"/>
        <w:rPr>
          <w:rFonts w:cstheme="minorHAnsi"/>
          <w:shd w:val="clear" w:color="auto" w:fill="FFFFFF"/>
        </w:rPr>
      </w:pPr>
      <w:r w:rsidRPr="00CF264B">
        <w:rPr>
          <w:rFonts w:cstheme="minorHAnsi"/>
          <w:shd w:val="clear" w:color="auto" w:fill="FFFFFF"/>
        </w:rPr>
        <w:t xml:space="preserve">It </w:t>
      </w:r>
      <w:r w:rsidR="00593287">
        <w:rPr>
          <w:rFonts w:cstheme="minorHAnsi"/>
          <w:shd w:val="clear" w:color="auto" w:fill="FFFFFF"/>
        </w:rPr>
        <w:t>wa</w:t>
      </w:r>
      <w:r w:rsidRPr="00CF264B">
        <w:rPr>
          <w:rFonts w:cstheme="minorHAnsi"/>
          <w:shd w:val="clear" w:color="auto" w:fill="FFFFFF"/>
        </w:rPr>
        <w:t xml:space="preserve">s clear therefore, </w:t>
      </w:r>
      <w:r w:rsidR="00336ED8" w:rsidRPr="00CF264B">
        <w:rPr>
          <w:rFonts w:cstheme="minorHAnsi"/>
          <w:shd w:val="clear" w:color="auto" w:fill="FFFFFF"/>
        </w:rPr>
        <w:t>that the current system d</w:t>
      </w:r>
      <w:r w:rsidR="00593287">
        <w:rPr>
          <w:rFonts w:cstheme="minorHAnsi"/>
          <w:shd w:val="clear" w:color="auto" w:fill="FFFFFF"/>
        </w:rPr>
        <w:t>id</w:t>
      </w:r>
      <w:r w:rsidR="00336ED8" w:rsidRPr="00CF264B">
        <w:rPr>
          <w:rFonts w:cstheme="minorHAnsi"/>
          <w:shd w:val="clear" w:color="auto" w:fill="FFFFFF"/>
        </w:rPr>
        <w:t xml:space="preserve"> not provide for the removal of barriers to accessibility and </w:t>
      </w:r>
      <w:r w:rsidR="00593287">
        <w:rPr>
          <w:rFonts w:cstheme="minorHAnsi"/>
          <w:shd w:val="clear" w:color="auto" w:fill="FFFFFF"/>
        </w:rPr>
        <w:t>was</w:t>
      </w:r>
      <w:r w:rsidR="00336ED8" w:rsidRPr="00CF264B">
        <w:rPr>
          <w:rFonts w:cstheme="minorHAnsi"/>
          <w:shd w:val="clear" w:color="auto" w:fill="FFFFFF"/>
        </w:rPr>
        <w:t xml:space="preserve"> inconsistent with accessibility obligations imposed by </w:t>
      </w:r>
      <w:r w:rsidR="00B55DDE">
        <w:rPr>
          <w:rFonts w:cstheme="minorHAnsi"/>
          <w:shd w:val="clear" w:color="auto" w:fill="FFFFFF"/>
        </w:rPr>
        <w:t xml:space="preserve">the </w:t>
      </w:r>
      <w:r w:rsidR="00336ED8" w:rsidRPr="00CF264B">
        <w:rPr>
          <w:rFonts w:cstheme="minorHAnsi"/>
          <w:shd w:val="clear" w:color="auto" w:fill="FFFFFF"/>
        </w:rPr>
        <w:t xml:space="preserve">CRPD. </w:t>
      </w:r>
      <w:r w:rsidRPr="00CF264B">
        <w:rPr>
          <w:rFonts w:cstheme="minorHAnsi"/>
          <w:shd w:val="clear" w:color="auto" w:fill="FFFFFF"/>
        </w:rPr>
        <w:t xml:space="preserve">The </w:t>
      </w:r>
      <w:r w:rsidR="00F85DAD">
        <w:rPr>
          <w:rFonts w:cstheme="minorHAnsi"/>
          <w:shd w:val="clear" w:color="auto" w:fill="FFFFFF"/>
        </w:rPr>
        <w:t>G</w:t>
      </w:r>
      <w:r w:rsidR="00F47A86" w:rsidRPr="00CF264B">
        <w:rPr>
          <w:rFonts w:cstheme="minorHAnsi"/>
          <w:shd w:val="clear" w:color="auto" w:fill="FFFFFF"/>
        </w:rPr>
        <w:t xml:space="preserve">overnment acknowledged the </w:t>
      </w:r>
      <w:r w:rsidRPr="00CF264B">
        <w:rPr>
          <w:rFonts w:cstheme="minorHAnsi"/>
          <w:shd w:val="clear" w:color="auto" w:fill="FFFFFF"/>
        </w:rPr>
        <w:t xml:space="preserve">effect of </w:t>
      </w:r>
      <w:r w:rsidR="00F47A86" w:rsidRPr="00CF264B">
        <w:rPr>
          <w:rFonts w:cstheme="minorHAnsi"/>
          <w:shd w:val="clear" w:color="auto" w:fill="FFFFFF"/>
        </w:rPr>
        <w:t xml:space="preserve">this in the </w:t>
      </w:r>
      <w:r w:rsidR="00593287" w:rsidRPr="00CF264B">
        <w:rPr>
          <w:rFonts w:cstheme="minorHAnsi"/>
          <w:shd w:val="clear" w:color="auto" w:fill="FFFFFF"/>
        </w:rPr>
        <w:t>R</w:t>
      </w:r>
      <w:r w:rsidR="00593287">
        <w:rPr>
          <w:rFonts w:cstheme="minorHAnsi"/>
          <w:shd w:val="clear" w:color="auto" w:fill="FFFFFF"/>
        </w:rPr>
        <w:t xml:space="preserve">egulatory </w:t>
      </w:r>
      <w:r w:rsidR="00F47A86" w:rsidRPr="00CF264B">
        <w:rPr>
          <w:rFonts w:cstheme="minorHAnsi"/>
          <w:shd w:val="clear" w:color="auto" w:fill="FFFFFF"/>
        </w:rPr>
        <w:t>I</w:t>
      </w:r>
      <w:r w:rsidR="00593287">
        <w:rPr>
          <w:rFonts w:cstheme="minorHAnsi"/>
          <w:shd w:val="clear" w:color="auto" w:fill="FFFFFF"/>
        </w:rPr>
        <w:t xml:space="preserve">mpact </w:t>
      </w:r>
      <w:r w:rsidR="00F47A86" w:rsidRPr="00CF264B">
        <w:rPr>
          <w:rFonts w:cstheme="minorHAnsi"/>
          <w:shd w:val="clear" w:color="auto" w:fill="FFFFFF"/>
        </w:rPr>
        <w:t>S</w:t>
      </w:r>
      <w:r w:rsidR="00593287">
        <w:rPr>
          <w:rFonts w:cstheme="minorHAnsi"/>
          <w:shd w:val="clear" w:color="auto" w:fill="FFFFFF"/>
        </w:rPr>
        <w:t xml:space="preserve">tatement </w:t>
      </w:r>
      <w:r w:rsidR="00E93947">
        <w:rPr>
          <w:rFonts w:cstheme="minorHAnsi"/>
          <w:shd w:val="clear" w:color="auto" w:fill="FFFFFF"/>
        </w:rPr>
        <w:t xml:space="preserve">(RIS) </w:t>
      </w:r>
      <w:r w:rsidR="00593287">
        <w:rPr>
          <w:rFonts w:cstheme="minorHAnsi"/>
          <w:shd w:val="clear" w:color="auto" w:fill="FFFFFF"/>
        </w:rPr>
        <w:t>that accompanied the October announcement</w:t>
      </w:r>
      <w:r w:rsidR="00F47A86" w:rsidRPr="00CF264B">
        <w:rPr>
          <w:rFonts w:cstheme="minorHAnsi"/>
          <w:shd w:val="clear" w:color="auto" w:fill="FFFFFF"/>
        </w:rPr>
        <w:t>, “Compared to non-disabled people, disabled people face disproportionately greater barriers to accessing products, devices, services, or environments. There continues to be major areas of inaccessibility and uneven compliance with voluntary accessibility standards.”</w:t>
      </w:r>
      <w:r w:rsidR="00F47A86" w:rsidRPr="00CF264B">
        <w:rPr>
          <w:rStyle w:val="FootnoteReference"/>
          <w:rFonts w:cstheme="minorHAnsi"/>
          <w:shd w:val="clear" w:color="auto" w:fill="FFFFFF"/>
        </w:rPr>
        <w:footnoteReference w:id="14"/>
      </w:r>
    </w:p>
    <w:p w14:paraId="54A811F9" w14:textId="1385B5A0" w:rsidR="00F47A86" w:rsidRPr="00CF264B" w:rsidRDefault="00F47A86" w:rsidP="00400E24">
      <w:pPr>
        <w:jc w:val="both"/>
        <w:rPr>
          <w:rFonts w:cstheme="minorHAnsi"/>
          <w:shd w:val="clear" w:color="auto" w:fill="FFFFFF"/>
        </w:rPr>
      </w:pPr>
      <w:r w:rsidRPr="00CF264B">
        <w:rPr>
          <w:rFonts w:cstheme="minorHAnsi"/>
          <w:shd w:val="clear" w:color="auto" w:fill="FFFFFF"/>
        </w:rPr>
        <w:t>In response</w:t>
      </w:r>
      <w:r w:rsidR="00593287">
        <w:rPr>
          <w:rFonts w:cstheme="minorHAnsi"/>
          <w:shd w:val="clear" w:color="auto" w:fill="FFFFFF"/>
        </w:rPr>
        <w:t xml:space="preserve"> to the lack of progress in accessibility</w:t>
      </w:r>
      <w:r w:rsidRPr="00CF264B">
        <w:rPr>
          <w:rFonts w:cstheme="minorHAnsi"/>
          <w:shd w:val="clear" w:color="auto" w:fill="FFFFFF"/>
        </w:rPr>
        <w:t xml:space="preserve">, the Access Alliance undertook research and campaign work to lobby for new accessibility legislation. The Alliance </w:t>
      </w:r>
      <w:r w:rsidR="002F4A45" w:rsidRPr="00CF264B">
        <w:rPr>
          <w:rFonts w:cstheme="minorHAnsi"/>
          <w:shd w:val="clear" w:color="auto" w:fill="FFFFFF"/>
        </w:rPr>
        <w:t>contended</w:t>
      </w:r>
      <w:r w:rsidRPr="00CF264B">
        <w:rPr>
          <w:rFonts w:cstheme="minorHAnsi"/>
          <w:shd w:val="clear" w:color="auto" w:fill="FFFFFF"/>
        </w:rPr>
        <w:t xml:space="preserve"> that legislation </w:t>
      </w:r>
      <w:r w:rsidR="002F4A45" w:rsidRPr="00CF264B">
        <w:rPr>
          <w:rFonts w:cstheme="minorHAnsi"/>
          <w:shd w:val="clear" w:color="auto" w:fill="FFFFFF"/>
        </w:rPr>
        <w:t>should</w:t>
      </w:r>
      <w:r w:rsidRPr="00CF264B">
        <w:rPr>
          <w:rFonts w:cstheme="minorHAnsi"/>
          <w:shd w:val="clear" w:color="auto" w:fill="FFFFFF"/>
        </w:rPr>
        <w:t xml:space="preserve"> be the primary driver of </w:t>
      </w:r>
      <w:r w:rsidR="009A5C67" w:rsidRPr="00CF264B">
        <w:rPr>
          <w:rFonts w:cstheme="minorHAnsi"/>
          <w:shd w:val="clear" w:color="auto" w:fill="FFFFFF"/>
        </w:rPr>
        <w:t>accessibility and</w:t>
      </w:r>
      <w:r w:rsidR="002F4A45" w:rsidRPr="00CF264B">
        <w:rPr>
          <w:rFonts w:cstheme="minorHAnsi"/>
          <w:shd w:val="clear" w:color="auto" w:fill="FFFFFF"/>
        </w:rPr>
        <w:t xml:space="preserve"> would be based on thirteen </w:t>
      </w:r>
      <w:r w:rsidR="003D70AE" w:rsidRPr="00CF264B">
        <w:rPr>
          <w:rFonts w:cstheme="minorHAnsi"/>
          <w:shd w:val="clear" w:color="auto" w:fill="FFFFFF"/>
        </w:rPr>
        <w:t>principles. These principles included application of the legislation, accountability, regulatory powers, and enforcement. The Act would be, “more than window dressing” and would have, “effective enforcement mechanisms which lead to real effect”.</w:t>
      </w:r>
      <w:r w:rsidR="003D70AE" w:rsidRPr="00CF264B">
        <w:rPr>
          <w:rStyle w:val="FootnoteReference"/>
          <w:rFonts w:cstheme="minorHAnsi"/>
          <w:shd w:val="clear" w:color="auto" w:fill="FFFFFF"/>
        </w:rPr>
        <w:footnoteReference w:id="15"/>
      </w:r>
    </w:p>
    <w:p w14:paraId="39C9160C" w14:textId="0B956E9B" w:rsidR="002B5839" w:rsidRPr="00CF264B" w:rsidRDefault="002B5839" w:rsidP="009A5C67">
      <w:pPr>
        <w:jc w:val="both"/>
        <w:rPr>
          <w:rFonts w:cstheme="minorHAnsi"/>
          <w:shd w:val="clear" w:color="auto" w:fill="FFFFFF"/>
        </w:rPr>
      </w:pPr>
      <w:r w:rsidRPr="00CF264B">
        <w:rPr>
          <w:rFonts w:cstheme="minorHAnsi"/>
          <w:shd w:val="clear" w:color="auto" w:fill="FFFFFF"/>
        </w:rPr>
        <w:lastRenderedPageBreak/>
        <w:t xml:space="preserve">In 2018 the Government </w:t>
      </w:r>
      <w:r w:rsidR="001C50BB" w:rsidRPr="00CF264B">
        <w:rPr>
          <w:rFonts w:cstheme="minorHAnsi"/>
          <w:shd w:val="clear" w:color="auto" w:fill="FFFFFF"/>
        </w:rPr>
        <w:t>committed to, “</w:t>
      </w:r>
      <w:r w:rsidR="001C50BB" w:rsidRPr="00CF264B">
        <w:t>exploring the feasibility of using legislation to provide for standards and codes for accessibility.”</w:t>
      </w:r>
      <w:r w:rsidR="001C50BB" w:rsidRPr="00CF264B">
        <w:rPr>
          <w:rStyle w:val="FootnoteReference"/>
        </w:rPr>
        <w:footnoteReference w:id="16"/>
      </w:r>
    </w:p>
    <w:p w14:paraId="72954CBE" w14:textId="271B79AD" w:rsidR="00C35369" w:rsidRPr="00CF264B" w:rsidRDefault="00AD1312" w:rsidP="009A5C67">
      <w:pPr>
        <w:jc w:val="both"/>
        <w:rPr>
          <w:rFonts w:cstheme="minorHAnsi"/>
          <w:shd w:val="clear" w:color="auto" w:fill="FFFFFF"/>
        </w:rPr>
      </w:pPr>
      <w:r w:rsidRPr="00CF264B">
        <w:rPr>
          <w:rFonts w:cstheme="minorHAnsi"/>
          <w:shd w:val="clear" w:color="auto" w:fill="FFFFFF"/>
        </w:rPr>
        <w:t xml:space="preserve">A case </w:t>
      </w:r>
      <w:r w:rsidR="00197BEB" w:rsidRPr="00CF264B">
        <w:rPr>
          <w:rFonts w:cstheme="minorHAnsi"/>
          <w:shd w:val="clear" w:color="auto" w:fill="FFFFFF"/>
        </w:rPr>
        <w:t>for legislation</w:t>
      </w:r>
      <w:r w:rsidRPr="00CF264B">
        <w:rPr>
          <w:rFonts w:cstheme="minorHAnsi"/>
          <w:shd w:val="clear" w:color="auto" w:fill="FFFFFF"/>
        </w:rPr>
        <w:t xml:space="preserve"> as the appropriate tool was made in the ‘Making New Zealand Accessible’ report</w:t>
      </w:r>
      <w:r w:rsidR="009A5C67" w:rsidRPr="00CF264B">
        <w:rPr>
          <w:rFonts w:cstheme="minorHAnsi"/>
          <w:shd w:val="clear" w:color="auto" w:fill="FFFFFF"/>
        </w:rPr>
        <w:t xml:space="preserve"> by Warren Forster, Tom Barraclough and Curtis Barnes</w:t>
      </w:r>
      <w:r w:rsidRPr="00CF264B">
        <w:rPr>
          <w:rFonts w:cstheme="minorHAnsi"/>
          <w:shd w:val="clear" w:color="auto" w:fill="FFFFFF"/>
        </w:rPr>
        <w:t>.</w:t>
      </w:r>
      <w:r w:rsidRPr="00CF264B">
        <w:rPr>
          <w:rStyle w:val="FootnoteReference"/>
          <w:rFonts w:cstheme="minorHAnsi"/>
          <w:shd w:val="clear" w:color="auto" w:fill="FFFFFF"/>
        </w:rPr>
        <w:footnoteReference w:id="17"/>
      </w:r>
      <w:r w:rsidRPr="00CF264B">
        <w:rPr>
          <w:rFonts w:cstheme="minorHAnsi"/>
          <w:shd w:val="clear" w:color="auto" w:fill="FFFFFF"/>
        </w:rPr>
        <w:t xml:space="preserve"> </w:t>
      </w:r>
      <w:r w:rsidR="00277BDB" w:rsidRPr="00CF264B">
        <w:rPr>
          <w:rFonts w:cstheme="minorHAnsi"/>
          <w:shd w:val="clear" w:color="auto" w:fill="FFFFFF"/>
        </w:rPr>
        <w:t xml:space="preserve">This clearly </w:t>
      </w:r>
      <w:r w:rsidR="009601E2">
        <w:rPr>
          <w:rFonts w:cstheme="minorHAnsi"/>
          <w:shd w:val="clear" w:color="auto" w:fill="FFFFFF"/>
        </w:rPr>
        <w:t>outlined</w:t>
      </w:r>
      <w:r w:rsidR="00277BDB" w:rsidRPr="00CF264B">
        <w:rPr>
          <w:rFonts w:cstheme="minorHAnsi"/>
          <w:shd w:val="clear" w:color="auto" w:fill="FFFFFF"/>
        </w:rPr>
        <w:t xml:space="preserve"> the need for</w:t>
      </w:r>
      <w:r w:rsidR="00C93176" w:rsidRPr="00CF264B">
        <w:rPr>
          <w:rFonts w:cstheme="minorHAnsi"/>
          <w:shd w:val="clear" w:color="auto" w:fill="FFFFFF"/>
        </w:rPr>
        <w:t xml:space="preserve"> </w:t>
      </w:r>
      <w:r w:rsidR="00277BDB" w:rsidRPr="00CF264B">
        <w:rPr>
          <w:rFonts w:cstheme="minorHAnsi"/>
          <w:shd w:val="clear" w:color="auto" w:fill="FFFFFF"/>
        </w:rPr>
        <w:t xml:space="preserve">a method </w:t>
      </w:r>
      <w:r w:rsidR="009601E2">
        <w:rPr>
          <w:rFonts w:cstheme="minorHAnsi"/>
          <w:shd w:val="clear" w:color="auto" w:fill="FFFFFF"/>
        </w:rPr>
        <w:t>to</w:t>
      </w:r>
      <w:r w:rsidR="00277BDB" w:rsidRPr="00CF264B">
        <w:rPr>
          <w:rFonts w:cstheme="minorHAnsi"/>
          <w:shd w:val="clear" w:color="auto" w:fill="FFFFFF"/>
        </w:rPr>
        <w:t xml:space="preserve"> creat</w:t>
      </w:r>
      <w:r w:rsidR="009601E2">
        <w:rPr>
          <w:rFonts w:cstheme="minorHAnsi"/>
          <w:shd w:val="clear" w:color="auto" w:fill="FFFFFF"/>
        </w:rPr>
        <w:t>e</w:t>
      </w:r>
      <w:r w:rsidR="00277BDB" w:rsidRPr="00CF264B">
        <w:rPr>
          <w:rFonts w:cstheme="minorHAnsi"/>
          <w:shd w:val="clear" w:color="auto" w:fill="FFFFFF"/>
        </w:rPr>
        <w:t xml:space="preserve"> standards</w:t>
      </w:r>
      <w:r w:rsidR="00C35369" w:rsidRPr="00CF264B">
        <w:rPr>
          <w:rFonts w:cstheme="minorHAnsi"/>
          <w:shd w:val="clear" w:color="auto" w:fill="FFFFFF"/>
        </w:rPr>
        <w:t xml:space="preserve">, </w:t>
      </w:r>
      <w:r w:rsidR="00C93176" w:rsidRPr="00CF264B">
        <w:rPr>
          <w:rFonts w:cstheme="minorHAnsi"/>
          <w:shd w:val="clear" w:color="auto" w:fill="FFFFFF"/>
        </w:rPr>
        <w:t xml:space="preserve">allowing appropriate and consistent coverage of the relevant domains. The authors emphasised </w:t>
      </w:r>
      <w:r w:rsidR="00C35369" w:rsidRPr="00CF264B">
        <w:rPr>
          <w:rFonts w:cstheme="minorHAnsi"/>
          <w:shd w:val="clear" w:color="auto" w:fill="FFFFFF"/>
        </w:rPr>
        <w:t xml:space="preserve">the importance </w:t>
      </w:r>
      <w:r w:rsidR="009A5C67" w:rsidRPr="00CF264B">
        <w:rPr>
          <w:rFonts w:cstheme="minorHAnsi"/>
          <w:shd w:val="clear" w:color="auto" w:fill="FFFFFF"/>
        </w:rPr>
        <w:t>of giving</w:t>
      </w:r>
      <w:r w:rsidR="00C35369" w:rsidRPr="00CF264B">
        <w:rPr>
          <w:rFonts w:cstheme="minorHAnsi"/>
          <w:shd w:val="clear" w:color="auto" w:fill="FFFFFF"/>
        </w:rPr>
        <w:t xml:space="preserve"> accessibility ‘progress’ the force of law, rather than allowing it to languish in the policy sphere. L</w:t>
      </w:r>
      <w:r w:rsidR="009601E2">
        <w:rPr>
          <w:rFonts w:cstheme="minorHAnsi"/>
          <w:shd w:val="clear" w:color="auto" w:fill="FFFFFF"/>
        </w:rPr>
        <w:t>egislation</w:t>
      </w:r>
      <w:r w:rsidR="00C35369" w:rsidRPr="00CF264B">
        <w:rPr>
          <w:rFonts w:cstheme="minorHAnsi"/>
          <w:shd w:val="clear" w:color="auto" w:fill="FFFFFF"/>
        </w:rPr>
        <w:t xml:space="preserve"> </w:t>
      </w:r>
      <w:r w:rsidR="00C93176" w:rsidRPr="00CF264B">
        <w:rPr>
          <w:rFonts w:cstheme="minorHAnsi"/>
          <w:shd w:val="clear" w:color="auto" w:fill="FFFFFF"/>
        </w:rPr>
        <w:t>also allow</w:t>
      </w:r>
      <w:r w:rsidR="009A5C67" w:rsidRPr="00CF264B">
        <w:rPr>
          <w:rFonts w:cstheme="minorHAnsi"/>
          <w:shd w:val="clear" w:color="auto" w:fill="FFFFFF"/>
        </w:rPr>
        <w:t>ed</w:t>
      </w:r>
      <w:r w:rsidR="00C93176" w:rsidRPr="00CF264B">
        <w:rPr>
          <w:rFonts w:cstheme="minorHAnsi"/>
          <w:shd w:val="clear" w:color="auto" w:fill="FFFFFF"/>
        </w:rPr>
        <w:t xml:space="preserve"> for enforceability, meaning accessibility requirements c</w:t>
      </w:r>
      <w:r w:rsidR="009A5C67" w:rsidRPr="00CF264B">
        <w:rPr>
          <w:rFonts w:cstheme="minorHAnsi"/>
          <w:shd w:val="clear" w:color="auto" w:fill="FFFFFF"/>
        </w:rPr>
        <w:t>ould not be</w:t>
      </w:r>
      <w:r w:rsidR="00C93176" w:rsidRPr="00CF264B">
        <w:rPr>
          <w:rFonts w:cstheme="minorHAnsi"/>
          <w:shd w:val="clear" w:color="auto" w:fill="FFFFFF"/>
        </w:rPr>
        <w:t xml:space="preserve"> minimised, </w:t>
      </w:r>
      <w:r w:rsidR="009A5C67" w:rsidRPr="00CF264B">
        <w:rPr>
          <w:rFonts w:cstheme="minorHAnsi"/>
          <w:shd w:val="clear" w:color="auto" w:fill="FFFFFF"/>
        </w:rPr>
        <w:t>avoided,</w:t>
      </w:r>
      <w:r w:rsidR="00C93176" w:rsidRPr="00CF264B">
        <w:rPr>
          <w:rFonts w:cstheme="minorHAnsi"/>
          <w:shd w:val="clear" w:color="auto" w:fill="FFFFFF"/>
        </w:rPr>
        <w:t xml:space="preserve"> or ignored. </w:t>
      </w:r>
    </w:p>
    <w:p w14:paraId="79C70120" w14:textId="0C71CDD4" w:rsidR="00B37236" w:rsidRDefault="00435752" w:rsidP="00137405">
      <w:pPr>
        <w:jc w:val="both"/>
        <w:rPr>
          <w:rFonts w:cstheme="minorHAnsi"/>
          <w:shd w:val="clear" w:color="auto" w:fill="FFFFFF"/>
        </w:rPr>
      </w:pPr>
      <w:r w:rsidRPr="00CF264B">
        <w:rPr>
          <w:rFonts w:cstheme="minorHAnsi"/>
          <w:shd w:val="clear" w:color="auto" w:fill="FFFFFF"/>
        </w:rPr>
        <w:t>The authors proposed a new law</w:t>
      </w:r>
      <w:r w:rsidR="00137405" w:rsidRPr="00CF264B">
        <w:rPr>
          <w:rFonts w:cstheme="minorHAnsi"/>
          <w:shd w:val="clear" w:color="auto" w:fill="FFFFFF"/>
        </w:rPr>
        <w:t xml:space="preserve">, setting </w:t>
      </w:r>
      <w:r w:rsidRPr="00CF264B">
        <w:rPr>
          <w:rFonts w:cstheme="minorHAnsi"/>
          <w:shd w:val="clear" w:color="auto" w:fill="FFFFFF"/>
        </w:rPr>
        <w:t>out a framework for the identification</w:t>
      </w:r>
      <w:r w:rsidR="009E4E96" w:rsidRPr="00CF264B">
        <w:rPr>
          <w:rFonts w:cstheme="minorHAnsi"/>
          <w:shd w:val="clear" w:color="auto" w:fill="FFFFFF"/>
        </w:rPr>
        <w:t>, recording</w:t>
      </w:r>
      <w:r w:rsidRPr="00CF264B">
        <w:rPr>
          <w:rFonts w:cstheme="minorHAnsi"/>
          <w:shd w:val="clear" w:color="auto" w:fill="FFFFFF"/>
        </w:rPr>
        <w:t xml:space="preserve"> and removal of barriers, including the responsibility for the removal of these barriers.</w:t>
      </w:r>
      <w:r w:rsidRPr="00CF264B">
        <w:rPr>
          <w:rStyle w:val="FootnoteReference"/>
          <w:rFonts w:cstheme="minorHAnsi"/>
          <w:shd w:val="clear" w:color="auto" w:fill="FFFFFF"/>
        </w:rPr>
        <w:footnoteReference w:id="18"/>
      </w:r>
      <w:r w:rsidRPr="00CF264B">
        <w:rPr>
          <w:rFonts w:cstheme="minorHAnsi"/>
          <w:shd w:val="clear" w:color="auto" w:fill="FFFFFF"/>
        </w:rPr>
        <w:t xml:space="preserve"> The l</w:t>
      </w:r>
      <w:r w:rsidR="009601E2">
        <w:rPr>
          <w:rFonts w:cstheme="minorHAnsi"/>
          <w:shd w:val="clear" w:color="auto" w:fill="FFFFFF"/>
        </w:rPr>
        <w:t>egislation</w:t>
      </w:r>
      <w:r w:rsidRPr="00CF264B">
        <w:rPr>
          <w:rFonts w:cstheme="minorHAnsi"/>
          <w:shd w:val="clear" w:color="auto" w:fill="FFFFFF"/>
        </w:rPr>
        <w:t xml:space="preserve"> would include a system</w:t>
      </w:r>
      <w:r w:rsidR="00B0170E" w:rsidRPr="00CF264B">
        <w:rPr>
          <w:rFonts w:cstheme="minorHAnsi"/>
          <w:shd w:val="clear" w:color="auto" w:fill="FFFFFF"/>
        </w:rPr>
        <w:t xml:space="preserve"> for an independent </w:t>
      </w:r>
      <w:r w:rsidR="00003CFF" w:rsidRPr="00CF264B">
        <w:rPr>
          <w:rFonts w:cstheme="minorHAnsi"/>
          <w:shd w:val="clear" w:color="auto" w:fill="FFFFFF"/>
        </w:rPr>
        <w:t>regulator</w:t>
      </w:r>
      <w:r w:rsidR="00B0170E" w:rsidRPr="00CF264B">
        <w:rPr>
          <w:rFonts w:cstheme="minorHAnsi"/>
          <w:shd w:val="clear" w:color="auto" w:fill="FFFFFF"/>
        </w:rPr>
        <w:t xml:space="preserve"> to</w:t>
      </w:r>
      <w:r w:rsidRPr="00CF264B">
        <w:rPr>
          <w:rFonts w:cstheme="minorHAnsi"/>
          <w:shd w:val="clear" w:color="auto" w:fill="FFFFFF"/>
        </w:rPr>
        <w:t xml:space="preserve"> develop accessibility standards</w:t>
      </w:r>
      <w:r w:rsidR="00B0170E" w:rsidRPr="00CF264B">
        <w:rPr>
          <w:rFonts w:cstheme="minorHAnsi"/>
          <w:shd w:val="clear" w:color="auto" w:fill="FFFFFF"/>
        </w:rPr>
        <w:t xml:space="preserve"> for barrier removal</w:t>
      </w:r>
      <w:r w:rsidR="00D60D55" w:rsidRPr="00CF264B">
        <w:rPr>
          <w:rFonts w:cstheme="minorHAnsi"/>
          <w:shd w:val="clear" w:color="auto" w:fill="FFFFFF"/>
        </w:rPr>
        <w:t>, including measurement and review mechanisms.</w:t>
      </w:r>
      <w:r w:rsidR="00B0170E" w:rsidRPr="00CF264B">
        <w:rPr>
          <w:rFonts w:cstheme="minorHAnsi"/>
          <w:shd w:val="clear" w:color="auto" w:fill="FFFFFF"/>
        </w:rPr>
        <w:t xml:space="preserve">  </w:t>
      </w:r>
      <w:r w:rsidR="00920C06" w:rsidRPr="00CF264B">
        <w:rPr>
          <w:rFonts w:cstheme="minorHAnsi"/>
          <w:shd w:val="clear" w:color="auto" w:fill="FFFFFF"/>
        </w:rPr>
        <w:t>F</w:t>
      </w:r>
      <w:r w:rsidR="009E4E96" w:rsidRPr="00CF264B">
        <w:rPr>
          <w:rFonts w:cstheme="minorHAnsi"/>
          <w:shd w:val="clear" w:color="auto" w:fill="FFFFFF"/>
        </w:rPr>
        <w:t>inally,</w:t>
      </w:r>
      <w:r w:rsidR="00920C06" w:rsidRPr="00CF264B">
        <w:rPr>
          <w:rFonts w:cstheme="minorHAnsi"/>
          <w:shd w:val="clear" w:color="auto" w:fill="FFFFFF"/>
        </w:rPr>
        <w:t xml:space="preserve"> th</w:t>
      </w:r>
      <w:r w:rsidR="009E4E96" w:rsidRPr="00CF264B">
        <w:rPr>
          <w:rFonts w:cstheme="minorHAnsi"/>
          <w:shd w:val="clear" w:color="auto" w:fill="FFFFFF"/>
        </w:rPr>
        <w:t xml:space="preserve">e law </w:t>
      </w:r>
      <w:r w:rsidR="00137405" w:rsidRPr="00CF264B">
        <w:rPr>
          <w:rFonts w:cstheme="minorHAnsi"/>
          <w:shd w:val="clear" w:color="auto" w:fill="FFFFFF"/>
        </w:rPr>
        <w:t>would</w:t>
      </w:r>
      <w:r w:rsidR="00920C06" w:rsidRPr="00CF264B">
        <w:rPr>
          <w:rFonts w:cstheme="minorHAnsi"/>
          <w:shd w:val="clear" w:color="auto" w:fill="FFFFFF"/>
        </w:rPr>
        <w:t xml:space="preserve"> </w:t>
      </w:r>
      <w:r w:rsidR="00003CFF" w:rsidRPr="00CF264B">
        <w:rPr>
          <w:rFonts w:cstheme="minorHAnsi"/>
          <w:shd w:val="clear" w:color="auto" w:fill="FFFFFF"/>
        </w:rPr>
        <w:t xml:space="preserve">provide the </w:t>
      </w:r>
      <w:r w:rsidR="00920C06" w:rsidRPr="00CF264B">
        <w:rPr>
          <w:rFonts w:cstheme="minorHAnsi"/>
          <w:shd w:val="clear" w:color="auto" w:fill="FFFFFF"/>
        </w:rPr>
        <w:t>regulator with</w:t>
      </w:r>
      <w:r w:rsidR="00137405" w:rsidRPr="00CF264B">
        <w:rPr>
          <w:rFonts w:cstheme="minorHAnsi"/>
          <w:shd w:val="clear" w:color="auto" w:fill="FFFFFF"/>
        </w:rPr>
        <w:t xml:space="preserve"> </w:t>
      </w:r>
      <w:r w:rsidR="00E70DA8" w:rsidRPr="00CF264B">
        <w:rPr>
          <w:rFonts w:cstheme="minorHAnsi"/>
          <w:shd w:val="clear" w:color="auto" w:fill="FFFFFF"/>
        </w:rPr>
        <w:t xml:space="preserve">dispute resolution, </w:t>
      </w:r>
      <w:r w:rsidR="009E4E96" w:rsidRPr="00CF264B">
        <w:rPr>
          <w:rFonts w:cstheme="minorHAnsi"/>
          <w:shd w:val="clear" w:color="auto" w:fill="FFFFFF"/>
        </w:rPr>
        <w:t>enforceability</w:t>
      </w:r>
      <w:r w:rsidR="00E70DA8" w:rsidRPr="00CF264B">
        <w:rPr>
          <w:rFonts w:cstheme="minorHAnsi"/>
          <w:shd w:val="clear" w:color="auto" w:fill="FFFFFF"/>
        </w:rPr>
        <w:t>,</w:t>
      </w:r>
      <w:r w:rsidR="002B5839" w:rsidRPr="00CF264B">
        <w:rPr>
          <w:rFonts w:cstheme="minorHAnsi"/>
          <w:shd w:val="clear" w:color="auto" w:fill="FFFFFF"/>
        </w:rPr>
        <w:t xml:space="preserve"> and compliance</w:t>
      </w:r>
      <w:r w:rsidR="009E4E96" w:rsidRPr="00CF264B">
        <w:rPr>
          <w:rFonts w:cstheme="minorHAnsi"/>
          <w:shd w:val="clear" w:color="auto" w:fill="FFFFFF"/>
        </w:rPr>
        <w:t xml:space="preserve"> </w:t>
      </w:r>
      <w:r w:rsidR="00920C06" w:rsidRPr="00CF264B">
        <w:rPr>
          <w:rFonts w:cstheme="minorHAnsi"/>
          <w:shd w:val="clear" w:color="auto" w:fill="FFFFFF"/>
        </w:rPr>
        <w:t>powers</w:t>
      </w:r>
      <w:r w:rsidR="009E4E96" w:rsidRPr="00CF264B">
        <w:rPr>
          <w:rFonts w:cstheme="minorHAnsi"/>
          <w:shd w:val="clear" w:color="auto" w:fill="FFFFFF"/>
        </w:rPr>
        <w:t>.</w:t>
      </w:r>
    </w:p>
    <w:p w14:paraId="04F20401" w14:textId="77777777" w:rsidR="009C38CF" w:rsidRPr="00CF264B" w:rsidRDefault="009C38CF" w:rsidP="00137405">
      <w:pPr>
        <w:jc w:val="both"/>
        <w:rPr>
          <w:rFonts w:cstheme="minorHAnsi"/>
          <w:shd w:val="clear" w:color="auto" w:fill="FFFFFF"/>
        </w:rPr>
      </w:pPr>
    </w:p>
    <w:p w14:paraId="22CC68B7" w14:textId="12FCF8E5" w:rsidR="00884C0B" w:rsidRPr="00CF264B" w:rsidRDefault="00792CCD" w:rsidP="00C754E3">
      <w:pPr>
        <w:pStyle w:val="Heading1"/>
        <w:rPr>
          <w:b w:val="0"/>
          <w:shd w:val="clear" w:color="auto" w:fill="FFFFFF"/>
        </w:rPr>
      </w:pPr>
      <w:r w:rsidRPr="00CF264B">
        <w:rPr>
          <w:shd w:val="clear" w:color="auto" w:fill="FFFFFF"/>
        </w:rPr>
        <w:t xml:space="preserve">5. </w:t>
      </w:r>
      <w:r w:rsidR="00884C0B" w:rsidRPr="00CF264B">
        <w:rPr>
          <w:shd w:val="clear" w:color="auto" w:fill="FFFFFF"/>
        </w:rPr>
        <w:t>Proposed legislation</w:t>
      </w:r>
    </w:p>
    <w:p w14:paraId="483550AF" w14:textId="37F44CA1" w:rsidR="001862C5" w:rsidRPr="00CF264B" w:rsidRDefault="00E70DA8" w:rsidP="006E2271">
      <w:pPr>
        <w:jc w:val="both"/>
        <w:rPr>
          <w:rFonts w:cstheme="minorHAnsi"/>
          <w:shd w:val="clear" w:color="auto" w:fill="FFFFFF"/>
        </w:rPr>
      </w:pPr>
      <w:r w:rsidRPr="00CF264B">
        <w:rPr>
          <w:rFonts w:cstheme="minorHAnsi"/>
          <w:shd w:val="clear" w:color="auto" w:fill="FFFFFF"/>
        </w:rPr>
        <w:t xml:space="preserve">In October 2021, the Government announced the creation of </w:t>
      </w:r>
      <w:r w:rsidR="00D318ED" w:rsidRPr="00CF264B">
        <w:rPr>
          <w:rFonts w:cstheme="minorHAnsi"/>
        </w:rPr>
        <w:t xml:space="preserve">accessibility-specific legislation, tentatively titled “The Accessibility for New Zealanders Bill”. After consultation, the Government intends to draft the Bill </w:t>
      </w:r>
      <w:r w:rsidR="001862C5" w:rsidRPr="00CF264B">
        <w:rPr>
          <w:rFonts w:cstheme="minorHAnsi"/>
          <w:shd w:val="clear" w:color="auto" w:fill="FFFFFF"/>
        </w:rPr>
        <w:t>with the aim of introduc</w:t>
      </w:r>
      <w:r w:rsidR="00D318ED" w:rsidRPr="00CF264B">
        <w:rPr>
          <w:rFonts w:cstheme="minorHAnsi"/>
          <w:shd w:val="clear" w:color="auto" w:fill="FFFFFF"/>
        </w:rPr>
        <w:t xml:space="preserve">ing it to Parliament in </w:t>
      </w:r>
      <w:r w:rsidR="001862C5" w:rsidRPr="00CF264B">
        <w:rPr>
          <w:rFonts w:cstheme="minorHAnsi"/>
          <w:shd w:val="clear" w:color="auto" w:fill="FFFFFF"/>
        </w:rPr>
        <w:t xml:space="preserve">July 2022. </w:t>
      </w:r>
    </w:p>
    <w:p w14:paraId="6D35EB36" w14:textId="47B615CA" w:rsidR="001862C5" w:rsidRPr="00CF264B" w:rsidRDefault="0085009C" w:rsidP="0085009C">
      <w:pPr>
        <w:rPr>
          <w:rFonts w:cstheme="minorHAnsi"/>
          <w:shd w:val="clear" w:color="auto" w:fill="FFFFFF"/>
        </w:rPr>
      </w:pPr>
      <w:r w:rsidRPr="00CF264B">
        <w:rPr>
          <w:rFonts w:cstheme="minorHAnsi"/>
          <w:shd w:val="clear" w:color="auto" w:fill="FFFFFF"/>
        </w:rPr>
        <w:t xml:space="preserve">It is important to emphasise that there is currently no draft legislation to critique, and there are </w:t>
      </w:r>
      <w:r w:rsidR="001862C5" w:rsidRPr="00CF264B">
        <w:rPr>
          <w:rFonts w:cstheme="minorHAnsi"/>
          <w:shd w:val="clear" w:color="auto" w:fill="FFFFFF"/>
        </w:rPr>
        <w:t xml:space="preserve">few documents from which to glean the </w:t>
      </w:r>
      <w:r w:rsidR="00D318ED" w:rsidRPr="00CF264B">
        <w:rPr>
          <w:rFonts w:cstheme="minorHAnsi"/>
          <w:shd w:val="clear" w:color="auto" w:fill="FFFFFF"/>
        </w:rPr>
        <w:t>G</w:t>
      </w:r>
      <w:r w:rsidR="001862C5" w:rsidRPr="00CF264B">
        <w:rPr>
          <w:rFonts w:cstheme="minorHAnsi"/>
          <w:shd w:val="clear" w:color="auto" w:fill="FFFFFF"/>
        </w:rPr>
        <w:t>overnment’s intention as to the content of the legislation. The initial documents that provide guidance include</w:t>
      </w:r>
      <w:r w:rsidRPr="00CF264B">
        <w:rPr>
          <w:rFonts w:cstheme="minorHAnsi"/>
          <w:shd w:val="clear" w:color="auto" w:fill="FFFFFF"/>
        </w:rPr>
        <w:t xml:space="preserve"> the September Cabinet Paper and the Regulatory Impact Statement</w:t>
      </w:r>
      <w:r w:rsidR="00E93947">
        <w:rPr>
          <w:rFonts w:cstheme="minorHAnsi"/>
          <w:shd w:val="clear" w:color="auto" w:fill="FFFFFF"/>
        </w:rPr>
        <w:t xml:space="preserve"> (RIS)</w:t>
      </w:r>
      <w:r w:rsidRPr="00CF264B">
        <w:rPr>
          <w:rFonts w:cstheme="minorHAnsi"/>
          <w:shd w:val="clear" w:color="auto" w:fill="FFFFFF"/>
        </w:rPr>
        <w:t>, both released as part of the</w:t>
      </w:r>
      <w:r w:rsidR="006E2271" w:rsidRPr="00CF264B">
        <w:rPr>
          <w:rFonts w:cstheme="minorHAnsi"/>
          <w:shd w:val="clear" w:color="auto" w:fill="FFFFFF"/>
        </w:rPr>
        <w:t xml:space="preserve"> October 2021</w:t>
      </w:r>
      <w:r w:rsidRPr="00CF264B">
        <w:rPr>
          <w:rFonts w:cstheme="minorHAnsi"/>
          <w:shd w:val="clear" w:color="auto" w:fill="FFFFFF"/>
        </w:rPr>
        <w:t xml:space="preserve"> announcement package.</w:t>
      </w:r>
      <w:r w:rsidR="004F0B9F" w:rsidRPr="00CF264B">
        <w:rPr>
          <w:rStyle w:val="FootnoteReference"/>
          <w:rFonts w:cs="Arial"/>
          <w:shd w:val="clear" w:color="auto" w:fill="FFFFFF"/>
        </w:rPr>
        <w:footnoteReference w:id="19"/>
      </w:r>
    </w:p>
    <w:p w14:paraId="08D8E85B" w14:textId="4516704C" w:rsidR="0085009C" w:rsidRPr="00CF264B" w:rsidRDefault="0085009C" w:rsidP="00A67BEC">
      <w:pPr>
        <w:jc w:val="both"/>
        <w:rPr>
          <w:rFonts w:cstheme="minorHAnsi"/>
          <w:shd w:val="clear" w:color="auto" w:fill="FFFFFF"/>
        </w:rPr>
      </w:pPr>
      <w:r w:rsidRPr="00CF264B">
        <w:rPr>
          <w:rFonts w:cstheme="minorHAnsi"/>
          <w:shd w:val="clear" w:color="auto" w:fill="FFFFFF"/>
        </w:rPr>
        <w:t xml:space="preserve">Both </w:t>
      </w:r>
      <w:r w:rsidR="00E86605" w:rsidRPr="00CF264B">
        <w:rPr>
          <w:rFonts w:cstheme="minorHAnsi"/>
          <w:shd w:val="clear" w:color="auto" w:fill="FFFFFF"/>
        </w:rPr>
        <w:t>establish</w:t>
      </w:r>
      <w:r w:rsidRPr="00CF264B">
        <w:rPr>
          <w:rFonts w:cstheme="minorHAnsi"/>
          <w:shd w:val="clear" w:color="auto" w:fill="FFFFFF"/>
        </w:rPr>
        <w:t xml:space="preserve"> clear boundaries</w:t>
      </w:r>
      <w:r w:rsidR="006E2271" w:rsidRPr="00CF264B">
        <w:rPr>
          <w:rFonts w:cstheme="minorHAnsi"/>
          <w:shd w:val="clear" w:color="auto" w:fill="FFFFFF"/>
        </w:rPr>
        <w:t xml:space="preserve"> and constraints</w:t>
      </w:r>
      <w:r w:rsidRPr="00CF264B">
        <w:rPr>
          <w:rFonts w:cstheme="minorHAnsi"/>
          <w:shd w:val="clear" w:color="auto" w:fill="FFFFFF"/>
        </w:rPr>
        <w:t xml:space="preserve"> o</w:t>
      </w:r>
      <w:r w:rsidR="0057086D">
        <w:rPr>
          <w:rFonts w:cstheme="minorHAnsi"/>
          <w:shd w:val="clear" w:color="auto" w:fill="FFFFFF"/>
        </w:rPr>
        <w:t>n</w:t>
      </w:r>
      <w:r w:rsidRPr="00CF264B">
        <w:rPr>
          <w:rFonts w:cstheme="minorHAnsi"/>
          <w:shd w:val="clear" w:color="auto" w:fill="FFFFFF"/>
        </w:rPr>
        <w:t xml:space="preserve"> the proposed legislation, however. </w:t>
      </w:r>
      <w:r w:rsidR="00E86605" w:rsidRPr="00CF264B">
        <w:rPr>
          <w:rFonts w:cstheme="minorHAnsi"/>
          <w:shd w:val="clear" w:color="auto" w:fill="FFFFFF"/>
        </w:rPr>
        <w:t>Firstly, the Government has ruled out “rights-based legislation”.</w:t>
      </w:r>
      <w:r w:rsidR="00E86605" w:rsidRPr="00CF264B">
        <w:rPr>
          <w:rStyle w:val="FootnoteReference"/>
          <w:rFonts w:cstheme="minorHAnsi"/>
          <w:shd w:val="clear" w:color="auto" w:fill="FFFFFF"/>
        </w:rPr>
        <w:footnoteReference w:id="20"/>
      </w:r>
      <w:r w:rsidR="00E86605" w:rsidRPr="00CF264B">
        <w:rPr>
          <w:rFonts w:cstheme="minorHAnsi"/>
          <w:shd w:val="clear" w:color="auto" w:fill="FFFFFF"/>
        </w:rPr>
        <w:t xml:space="preserve"> The new legislation will not focus on individual remedies, as there is already a framework in place, albeit with the limitations noted above. These limitations to the HRA system will not be </w:t>
      </w:r>
      <w:r w:rsidR="00E86605" w:rsidRPr="00CF264B">
        <w:rPr>
          <w:rFonts w:cstheme="minorHAnsi"/>
          <w:shd w:val="clear" w:color="auto" w:fill="FFFFFF"/>
        </w:rPr>
        <w:lastRenderedPageBreak/>
        <w:t xml:space="preserve">addressed as part of the accessibility work. </w:t>
      </w:r>
      <w:r w:rsidR="007F4154">
        <w:rPr>
          <w:rFonts w:cstheme="minorHAnsi"/>
          <w:shd w:val="clear" w:color="auto" w:fill="FFFFFF"/>
        </w:rPr>
        <w:t>It does ensure that the disability discrimination HRA complaint mechanism remains in place.</w:t>
      </w:r>
      <w:r w:rsidR="00377755">
        <w:rPr>
          <w:rStyle w:val="FootnoteReference"/>
          <w:rFonts w:cstheme="minorHAnsi"/>
          <w:shd w:val="clear" w:color="auto" w:fill="FFFFFF"/>
        </w:rPr>
        <w:footnoteReference w:id="21"/>
      </w:r>
    </w:p>
    <w:p w14:paraId="721F1449" w14:textId="706FBE6F" w:rsidR="00A67BEC" w:rsidRPr="00CF264B" w:rsidRDefault="00A67BEC" w:rsidP="002C3163">
      <w:pPr>
        <w:jc w:val="both"/>
        <w:rPr>
          <w:rFonts w:cstheme="minorHAnsi"/>
          <w:shd w:val="clear" w:color="auto" w:fill="FFFFFF"/>
        </w:rPr>
      </w:pPr>
      <w:r w:rsidRPr="00CF264B">
        <w:rPr>
          <w:rFonts w:cstheme="minorHAnsi"/>
          <w:shd w:val="clear" w:color="auto" w:fill="FFFFFF"/>
        </w:rPr>
        <w:t xml:space="preserve">The </w:t>
      </w:r>
      <w:r w:rsidR="00F85DAD">
        <w:rPr>
          <w:rFonts w:cstheme="minorHAnsi"/>
          <w:shd w:val="clear" w:color="auto" w:fill="FFFFFF"/>
        </w:rPr>
        <w:t>G</w:t>
      </w:r>
      <w:r w:rsidRPr="00CF264B">
        <w:rPr>
          <w:rFonts w:cstheme="minorHAnsi"/>
          <w:shd w:val="clear" w:color="auto" w:fill="FFFFFF"/>
        </w:rPr>
        <w:t xml:space="preserve">overnment is also clear that the new legislation should not be seen as the single solution to accessibility issues. It should work alongside, </w:t>
      </w:r>
      <w:r w:rsidR="002C3163" w:rsidRPr="00CF264B">
        <w:rPr>
          <w:rFonts w:cstheme="minorHAnsi"/>
          <w:shd w:val="clear" w:color="auto" w:fill="FFFFFF"/>
        </w:rPr>
        <w:t>“complementary measures, such as education, awareness raising, and targeted training, that can together address the broader issues resulting from a lack of accessibility.”</w:t>
      </w:r>
      <w:r w:rsidR="002C3163" w:rsidRPr="00CF264B">
        <w:rPr>
          <w:rStyle w:val="FootnoteReference"/>
          <w:rFonts w:cstheme="minorHAnsi"/>
          <w:shd w:val="clear" w:color="auto" w:fill="FFFFFF"/>
        </w:rPr>
        <w:footnoteReference w:id="22"/>
      </w:r>
      <w:r w:rsidR="002C3163" w:rsidRPr="00CF264B">
        <w:rPr>
          <w:rFonts w:cstheme="minorHAnsi"/>
          <w:shd w:val="clear" w:color="auto" w:fill="FFFFFF"/>
        </w:rPr>
        <w:t xml:space="preserve"> Consistent with the Government’s </w:t>
      </w:r>
      <w:r w:rsidR="00AD0F72" w:rsidRPr="00CF264B">
        <w:rPr>
          <w:rFonts w:cstheme="minorHAnsi"/>
          <w:shd w:val="clear" w:color="auto" w:fill="FFFFFF"/>
        </w:rPr>
        <w:t xml:space="preserve">constrained </w:t>
      </w:r>
      <w:r w:rsidR="002C3163" w:rsidRPr="00CF264B">
        <w:rPr>
          <w:rFonts w:cstheme="minorHAnsi"/>
          <w:shd w:val="clear" w:color="auto" w:fill="FFFFFF"/>
        </w:rPr>
        <w:t xml:space="preserve">approach to the legislation, </w:t>
      </w:r>
      <w:r w:rsidR="00AD0F72" w:rsidRPr="00CF264B">
        <w:rPr>
          <w:rFonts w:cstheme="minorHAnsi"/>
          <w:shd w:val="clear" w:color="auto" w:fill="FFFFFF"/>
        </w:rPr>
        <w:t xml:space="preserve">it is seen as a first step, rather than a full solution. </w:t>
      </w:r>
    </w:p>
    <w:p w14:paraId="20A71C30" w14:textId="08DEDB78" w:rsidR="006A1EE7" w:rsidRPr="00CF264B" w:rsidRDefault="009601E2" w:rsidP="00680907">
      <w:pPr>
        <w:jc w:val="both"/>
        <w:rPr>
          <w:lang w:val="en-AU"/>
        </w:rPr>
      </w:pPr>
      <w:r>
        <w:rPr>
          <w:rFonts w:cstheme="minorHAnsi"/>
          <w:shd w:val="clear" w:color="auto" w:fill="FFFFFF"/>
        </w:rPr>
        <w:t>In the RIS, t</w:t>
      </w:r>
      <w:r w:rsidR="001F5DEF" w:rsidRPr="00CF264B">
        <w:rPr>
          <w:rFonts w:cstheme="minorHAnsi"/>
          <w:shd w:val="clear" w:color="auto" w:fill="FFFFFF"/>
        </w:rPr>
        <w:t>he Government consider</w:t>
      </w:r>
      <w:r w:rsidR="00741F9A">
        <w:rPr>
          <w:rFonts w:cstheme="minorHAnsi"/>
          <w:shd w:val="clear" w:color="auto" w:fill="FFFFFF"/>
        </w:rPr>
        <w:t>s</w:t>
      </w:r>
      <w:r w:rsidR="001F5DEF" w:rsidRPr="00CF264B">
        <w:rPr>
          <w:rFonts w:cstheme="minorHAnsi"/>
          <w:shd w:val="clear" w:color="auto" w:fill="FFFFFF"/>
        </w:rPr>
        <w:t xml:space="preserve"> four </w:t>
      </w:r>
      <w:r w:rsidR="00312AF1" w:rsidRPr="00CF264B">
        <w:rPr>
          <w:rFonts w:cstheme="minorHAnsi"/>
          <w:shd w:val="clear" w:color="auto" w:fill="FFFFFF"/>
        </w:rPr>
        <w:t>models</w:t>
      </w:r>
      <w:r w:rsidR="001F5DEF" w:rsidRPr="00CF264B">
        <w:rPr>
          <w:rFonts w:cstheme="minorHAnsi"/>
          <w:shd w:val="clear" w:color="auto" w:fill="FFFFFF"/>
        </w:rPr>
        <w:t xml:space="preserve"> of regulatory intervention, starting with the status-quo, progressing on a spectrum to a full regulatory regime. </w:t>
      </w:r>
      <w:r w:rsidR="009273DF" w:rsidRPr="00CF264B">
        <w:rPr>
          <w:rFonts w:cstheme="minorHAnsi"/>
          <w:shd w:val="clear" w:color="auto" w:fill="FFFFFF"/>
        </w:rPr>
        <w:t xml:space="preserve">This full regulatory regime </w:t>
      </w:r>
      <w:r w:rsidR="00741F9A">
        <w:rPr>
          <w:rFonts w:cstheme="minorHAnsi"/>
          <w:shd w:val="clear" w:color="auto" w:fill="FFFFFF"/>
        </w:rPr>
        <w:t>i</w:t>
      </w:r>
      <w:r w:rsidR="009273DF" w:rsidRPr="00CF264B">
        <w:rPr>
          <w:rFonts w:cstheme="minorHAnsi"/>
          <w:shd w:val="clear" w:color="auto" w:fill="FFFFFF"/>
        </w:rPr>
        <w:t>s outlined in Option Four. It allow</w:t>
      </w:r>
      <w:r w:rsidR="00741F9A">
        <w:rPr>
          <w:rFonts w:cstheme="minorHAnsi"/>
          <w:shd w:val="clear" w:color="auto" w:fill="FFFFFF"/>
        </w:rPr>
        <w:t>s</w:t>
      </w:r>
      <w:r w:rsidR="009273DF" w:rsidRPr="00CF264B">
        <w:rPr>
          <w:rFonts w:cstheme="minorHAnsi"/>
          <w:shd w:val="clear" w:color="auto" w:fill="FFFFFF"/>
        </w:rPr>
        <w:t xml:space="preserve"> for an independent regulatory regime, including the creation of enforceable accessibility standards, with an accessibility regulator and access to the judicial system. </w:t>
      </w:r>
      <w:r w:rsidR="00312AF1" w:rsidRPr="00CF264B">
        <w:rPr>
          <w:rFonts w:cstheme="minorHAnsi"/>
          <w:shd w:val="clear" w:color="auto" w:fill="FFFFFF"/>
        </w:rPr>
        <w:t>Along with the ability to create standards, t</w:t>
      </w:r>
      <w:r w:rsidR="009273DF" w:rsidRPr="00CF264B">
        <w:rPr>
          <w:rFonts w:cstheme="minorHAnsi"/>
          <w:shd w:val="clear" w:color="auto" w:fill="FFFFFF"/>
        </w:rPr>
        <w:t>he new regulator would have the power to, “carry out inspections, provide mediation services, serve infringement notices, and set and enforce penalties for non-compliance.”</w:t>
      </w:r>
      <w:r w:rsidR="009273DF" w:rsidRPr="00CF264B">
        <w:rPr>
          <w:rStyle w:val="FootnoteReference"/>
          <w:rFonts w:cstheme="minorHAnsi"/>
          <w:shd w:val="clear" w:color="auto" w:fill="FFFFFF"/>
        </w:rPr>
        <w:footnoteReference w:id="23"/>
      </w:r>
      <w:r w:rsidR="006A1EE7" w:rsidRPr="00CF264B">
        <w:rPr>
          <w:rFonts w:cstheme="minorHAnsi"/>
          <w:shd w:val="clear" w:color="auto" w:fill="FFFFFF"/>
        </w:rPr>
        <w:t xml:space="preserve"> This model echoe</w:t>
      </w:r>
      <w:r w:rsidR="00741F9A">
        <w:rPr>
          <w:rFonts w:cstheme="minorHAnsi"/>
          <w:shd w:val="clear" w:color="auto" w:fill="FFFFFF"/>
        </w:rPr>
        <w:t>s</w:t>
      </w:r>
      <w:r w:rsidR="006A1EE7" w:rsidRPr="00CF264B">
        <w:rPr>
          <w:rFonts w:cstheme="minorHAnsi"/>
          <w:shd w:val="clear" w:color="auto" w:fill="FFFFFF"/>
        </w:rPr>
        <w:t xml:space="preserve"> </w:t>
      </w:r>
      <w:r w:rsidR="00680907" w:rsidRPr="00CF264B">
        <w:rPr>
          <w:rFonts w:cstheme="minorHAnsi"/>
          <w:shd w:val="clear" w:color="auto" w:fill="FFFFFF"/>
        </w:rPr>
        <w:t xml:space="preserve">many of </w:t>
      </w:r>
      <w:r w:rsidR="006A1EE7" w:rsidRPr="00CF264B">
        <w:rPr>
          <w:rFonts w:cstheme="minorHAnsi"/>
          <w:shd w:val="clear" w:color="auto" w:fill="FFFFFF"/>
        </w:rPr>
        <w:t>the standard</w:t>
      </w:r>
      <w:r w:rsidR="00DC62C3" w:rsidRPr="00CF264B">
        <w:rPr>
          <w:rFonts w:cstheme="minorHAnsi"/>
          <w:shd w:val="clear" w:color="auto" w:fill="FFFFFF"/>
        </w:rPr>
        <w:t xml:space="preserve"> </w:t>
      </w:r>
      <w:r w:rsidR="006A1EE7" w:rsidRPr="00CF264B">
        <w:rPr>
          <w:rFonts w:cstheme="minorHAnsi"/>
          <w:shd w:val="clear" w:color="auto" w:fill="FFFFFF"/>
        </w:rPr>
        <w:t xml:space="preserve">creation, </w:t>
      </w:r>
      <w:r w:rsidR="006A1EE7" w:rsidRPr="00CF264B">
        <w:rPr>
          <w:lang w:val="en-AU"/>
        </w:rPr>
        <w:t>notification, monitoring, investigation,</w:t>
      </w:r>
      <w:r w:rsidR="00DC62C3" w:rsidRPr="00CF264B">
        <w:rPr>
          <w:lang w:val="en-AU"/>
        </w:rPr>
        <w:t xml:space="preserve"> dispute resolution,</w:t>
      </w:r>
      <w:r w:rsidR="006A1EE7" w:rsidRPr="00CF264B">
        <w:rPr>
          <w:lang w:val="en-AU"/>
        </w:rPr>
        <w:t xml:space="preserve"> enforcement, reporting, and review mechanisms in the </w:t>
      </w:r>
      <w:r w:rsidR="008C07AC" w:rsidRPr="00CF264B">
        <w:rPr>
          <w:rFonts w:cstheme="minorHAnsi"/>
          <w:shd w:val="clear" w:color="auto" w:fill="FFFFFF"/>
        </w:rPr>
        <w:t>‘Making New Zealand Accessible’</w:t>
      </w:r>
      <w:r w:rsidR="006A1EE7" w:rsidRPr="00CF264B">
        <w:rPr>
          <w:lang w:val="en-AU"/>
        </w:rPr>
        <w:t xml:space="preserve"> report. </w:t>
      </w:r>
    </w:p>
    <w:p w14:paraId="0E477CBC" w14:textId="6896457C" w:rsidR="001F5DEF" w:rsidRPr="00CF264B" w:rsidRDefault="00723CD4" w:rsidP="001F5DEF">
      <w:pPr>
        <w:jc w:val="both"/>
        <w:rPr>
          <w:rFonts w:cs="Arial"/>
          <w:shd w:val="clear" w:color="auto" w:fill="FFFFFF"/>
        </w:rPr>
      </w:pPr>
      <w:r w:rsidRPr="00CF264B">
        <w:rPr>
          <w:rFonts w:cstheme="minorHAnsi"/>
          <w:shd w:val="clear" w:color="auto" w:fill="FFFFFF"/>
        </w:rPr>
        <w:t xml:space="preserve">Option </w:t>
      </w:r>
      <w:r w:rsidR="00DD5753" w:rsidRPr="00CF264B">
        <w:rPr>
          <w:rFonts w:cstheme="minorHAnsi"/>
          <w:shd w:val="clear" w:color="auto" w:fill="FFFFFF"/>
        </w:rPr>
        <w:t>F</w:t>
      </w:r>
      <w:r w:rsidR="001F5DEF" w:rsidRPr="00CF264B">
        <w:rPr>
          <w:rFonts w:cstheme="minorHAnsi"/>
          <w:shd w:val="clear" w:color="auto" w:fill="FFFFFF"/>
        </w:rPr>
        <w:t>our</w:t>
      </w:r>
      <w:r w:rsidR="009273DF" w:rsidRPr="00CF264B">
        <w:rPr>
          <w:rFonts w:cstheme="minorHAnsi"/>
          <w:shd w:val="clear" w:color="auto" w:fill="FFFFFF"/>
        </w:rPr>
        <w:t xml:space="preserve"> </w:t>
      </w:r>
      <w:r w:rsidRPr="00CF264B">
        <w:rPr>
          <w:rFonts w:cstheme="minorHAnsi"/>
          <w:shd w:val="clear" w:color="auto" w:fill="FFFFFF"/>
        </w:rPr>
        <w:t>was rejected, despite being the preferred option of the Access Alliance.</w:t>
      </w:r>
      <w:r w:rsidR="001F5DEF" w:rsidRPr="00CF264B">
        <w:rPr>
          <w:rStyle w:val="FootnoteReference"/>
          <w:rFonts w:cs="Arial"/>
          <w:shd w:val="clear" w:color="auto" w:fill="FFFFFF"/>
        </w:rPr>
        <w:footnoteReference w:id="24"/>
      </w:r>
    </w:p>
    <w:p w14:paraId="72587659" w14:textId="333D2976" w:rsidR="00DD5753" w:rsidRPr="00CF264B" w:rsidRDefault="009273DF" w:rsidP="009273DF">
      <w:pPr>
        <w:jc w:val="both"/>
        <w:rPr>
          <w:rFonts w:cstheme="minorHAnsi"/>
        </w:rPr>
      </w:pPr>
      <w:r w:rsidRPr="00CF264B">
        <w:rPr>
          <w:rFonts w:cstheme="minorHAnsi"/>
          <w:shd w:val="clear" w:color="auto" w:fill="FFFFFF"/>
        </w:rPr>
        <w:t>The Government claim</w:t>
      </w:r>
      <w:r w:rsidR="00ED035E">
        <w:rPr>
          <w:rFonts w:cstheme="minorHAnsi"/>
          <w:shd w:val="clear" w:color="auto" w:fill="FFFFFF"/>
        </w:rPr>
        <w:t>s</w:t>
      </w:r>
      <w:r w:rsidRPr="00CF264B">
        <w:rPr>
          <w:rFonts w:cstheme="minorHAnsi"/>
          <w:shd w:val="clear" w:color="auto" w:fill="FFFFFF"/>
        </w:rPr>
        <w:t xml:space="preserve"> the Option Four </w:t>
      </w:r>
      <w:r w:rsidR="00DD5753" w:rsidRPr="00CF264B">
        <w:rPr>
          <w:rFonts w:cstheme="minorHAnsi"/>
        </w:rPr>
        <w:t xml:space="preserve">system would be </w:t>
      </w:r>
      <w:r w:rsidR="00741F9A">
        <w:rPr>
          <w:rFonts w:cstheme="minorHAnsi"/>
        </w:rPr>
        <w:t>too</w:t>
      </w:r>
      <w:r w:rsidR="00DD5753" w:rsidRPr="00CF264B">
        <w:rPr>
          <w:rFonts w:cstheme="minorHAnsi"/>
        </w:rPr>
        <w:t xml:space="preserve"> complex</w:t>
      </w:r>
      <w:r w:rsidR="006E2271" w:rsidRPr="00CF264B">
        <w:rPr>
          <w:rFonts w:cstheme="minorHAnsi"/>
        </w:rPr>
        <w:t xml:space="preserve">, having </w:t>
      </w:r>
      <w:r w:rsidR="00DD5753" w:rsidRPr="00CF264B">
        <w:rPr>
          <w:rFonts w:cstheme="minorHAnsi"/>
        </w:rPr>
        <w:t xml:space="preserve">a high degree of crossover with existing legislation, thereby duplicating functions.  </w:t>
      </w:r>
      <w:r w:rsidR="000F2CF7">
        <w:rPr>
          <w:rFonts w:cstheme="minorHAnsi"/>
        </w:rPr>
        <w:t>Further, i</w:t>
      </w:r>
      <w:r w:rsidR="00DD5753" w:rsidRPr="00CF264B">
        <w:rPr>
          <w:rFonts w:cstheme="minorHAnsi"/>
        </w:rPr>
        <w:t xml:space="preserve">t would be limited, not covering all necessary </w:t>
      </w:r>
      <w:r w:rsidRPr="00CF264B">
        <w:rPr>
          <w:rFonts w:cstheme="minorHAnsi"/>
        </w:rPr>
        <w:t>domains</w:t>
      </w:r>
      <w:r w:rsidR="00DD5753" w:rsidRPr="00CF264B">
        <w:rPr>
          <w:rFonts w:cstheme="minorHAnsi"/>
        </w:rPr>
        <w:t xml:space="preserve">. It would be inflexible, and difficult to future-proof. It would also be expensive and take a long time to implement. </w:t>
      </w:r>
      <w:r w:rsidR="006E2271" w:rsidRPr="00CF264B">
        <w:rPr>
          <w:rFonts w:cstheme="minorHAnsi"/>
        </w:rPr>
        <w:t>Finally, it claim</w:t>
      </w:r>
      <w:r w:rsidR="00ED035E">
        <w:rPr>
          <w:rFonts w:cstheme="minorHAnsi"/>
        </w:rPr>
        <w:t>s</w:t>
      </w:r>
      <w:r w:rsidR="006E2271" w:rsidRPr="00CF264B">
        <w:rPr>
          <w:rFonts w:cstheme="minorHAnsi"/>
        </w:rPr>
        <w:t xml:space="preserve"> </w:t>
      </w:r>
      <w:r w:rsidR="00DD5753" w:rsidRPr="00CF264B">
        <w:rPr>
          <w:rFonts w:cstheme="minorHAnsi"/>
        </w:rPr>
        <w:t>that this type of regime</w:t>
      </w:r>
      <w:r w:rsidR="00BA0E7D">
        <w:rPr>
          <w:rFonts w:cstheme="minorHAnsi"/>
        </w:rPr>
        <w:t>,</w:t>
      </w:r>
      <w:r w:rsidR="00DD5753" w:rsidRPr="00CF264B">
        <w:rPr>
          <w:rFonts w:cstheme="minorHAnsi"/>
        </w:rPr>
        <w:t xml:space="preserve"> </w:t>
      </w:r>
      <w:r w:rsidRPr="00CF264B">
        <w:rPr>
          <w:rFonts w:cstheme="minorHAnsi"/>
        </w:rPr>
        <w:t xml:space="preserve">as </w:t>
      </w:r>
      <w:r w:rsidR="006E2271" w:rsidRPr="00CF264B">
        <w:rPr>
          <w:rFonts w:cstheme="minorHAnsi"/>
        </w:rPr>
        <w:t>evidenced</w:t>
      </w:r>
      <w:r w:rsidRPr="00CF264B">
        <w:rPr>
          <w:rFonts w:cstheme="minorHAnsi"/>
        </w:rPr>
        <w:t xml:space="preserve"> in the Ontario model, </w:t>
      </w:r>
      <w:r w:rsidR="00312AF1" w:rsidRPr="00CF264B">
        <w:rPr>
          <w:rFonts w:cstheme="minorHAnsi"/>
        </w:rPr>
        <w:t xml:space="preserve">simply </w:t>
      </w:r>
      <w:r w:rsidR="00DD5753" w:rsidRPr="00CF264B">
        <w:rPr>
          <w:rFonts w:cstheme="minorHAnsi"/>
        </w:rPr>
        <w:t>engender</w:t>
      </w:r>
      <w:r w:rsidR="00ED035E">
        <w:rPr>
          <w:rFonts w:cstheme="minorHAnsi"/>
        </w:rPr>
        <w:t>s</w:t>
      </w:r>
      <w:r w:rsidR="00DD5753" w:rsidRPr="00CF264B">
        <w:rPr>
          <w:rFonts w:cstheme="minorHAnsi"/>
        </w:rPr>
        <w:t xml:space="preserve"> compliance rather than addressing wider behavioural change.</w:t>
      </w:r>
      <w:r w:rsidR="006E2271" w:rsidRPr="00CF264B">
        <w:rPr>
          <w:rStyle w:val="FootnoteReference"/>
          <w:rFonts w:cstheme="minorHAnsi"/>
        </w:rPr>
        <w:footnoteReference w:id="25"/>
      </w:r>
    </w:p>
    <w:p w14:paraId="551E574D" w14:textId="0771EBFF" w:rsidR="00312AF1" w:rsidRPr="00CF264B" w:rsidRDefault="006A1EE7" w:rsidP="009273DF">
      <w:pPr>
        <w:jc w:val="both"/>
        <w:rPr>
          <w:rFonts w:cstheme="minorHAnsi"/>
          <w:shd w:val="clear" w:color="auto" w:fill="FFFFFF"/>
        </w:rPr>
      </w:pPr>
      <w:r w:rsidRPr="00CF264B">
        <w:rPr>
          <w:rFonts w:cstheme="minorHAnsi"/>
          <w:shd w:val="clear" w:color="auto" w:fill="FFFFFF"/>
        </w:rPr>
        <w:t xml:space="preserve">The Government instead chose Option Three. </w:t>
      </w:r>
      <w:r w:rsidR="00680907" w:rsidRPr="00CF264B">
        <w:rPr>
          <w:rFonts w:cstheme="minorHAnsi"/>
          <w:shd w:val="clear" w:color="auto" w:fill="FFFFFF"/>
        </w:rPr>
        <w:t>This allow</w:t>
      </w:r>
      <w:r w:rsidR="00741F9A">
        <w:rPr>
          <w:rFonts w:cstheme="minorHAnsi"/>
          <w:shd w:val="clear" w:color="auto" w:fill="FFFFFF"/>
        </w:rPr>
        <w:t>s</w:t>
      </w:r>
      <w:r w:rsidR="00680907" w:rsidRPr="00CF264B">
        <w:rPr>
          <w:rFonts w:cstheme="minorHAnsi"/>
          <w:shd w:val="clear" w:color="auto" w:fill="FFFFFF"/>
        </w:rPr>
        <w:t xml:space="preserve"> for the creation of, “</w:t>
      </w:r>
      <w:r w:rsidR="00DC62C3" w:rsidRPr="00CF264B">
        <w:rPr>
          <w:rFonts w:cstheme="minorHAnsi"/>
          <w:shd w:val="clear" w:color="auto" w:fill="FFFFFF"/>
        </w:rPr>
        <w:t>A</w:t>
      </w:r>
      <w:r w:rsidR="00680907" w:rsidRPr="00CF264B">
        <w:rPr>
          <w:rFonts w:cstheme="minorHAnsi"/>
          <w:shd w:val="clear" w:color="auto" w:fill="FFFFFF"/>
        </w:rPr>
        <w:t xml:space="preserve"> leadership model, structure and process for change</w:t>
      </w:r>
      <w:r w:rsidR="00DB18EE" w:rsidRPr="00CF264B">
        <w:rPr>
          <w:rFonts w:cstheme="minorHAnsi"/>
          <w:shd w:val="clear" w:color="auto" w:fill="FFFFFF"/>
        </w:rPr>
        <w:t>…</w:t>
      </w:r>
      <w:r w:rsidR="00BA0E7D">
        <w:rPr>
          <w:rFonts w:cstheme="minorHAnsi"/>
          <w:shd w:val="clear" w:color="auto" w:fill="FFFFFF"/>
        </w:rPr>
        <w:t xml:space="preserve"> </w:t>
      </w:r>
      <w:r w:rsidR="00DB18EE" w:rsidRPr="00CF264B">
        <w:rPr>
          <w:rFonts w:cstheme="minorHAnsi"/>
          <w:shd w:val="clear" w:color="auto" w:fill="FFFFFF"/>
        </w:rPr>
        <w:t>[</w:t>
      </w:r>
      <w:r w:rsidR="00DC62C3" w:rsidRPr="00CF264B">
        <w:rPr>
          <w:rFonts w:cstheme="minorHAnsi"/>
          <w:shd w:val="clear" w:color="auto" w:fill="FFFFFF"/>
        </w:rPr>
        <w:t xml:space="preserve">setting out] key principles, functions, roles and accountability mechanisms, to ensure that barriers are progressively identified, prevented and removed over </w:t>
      </w:r>
      <w:r w:rsidR="00DB18EE" w:rsidRPr="00CF264B">
        <w:rPr>
          <w:rFonts w:cstheme="minorHAnsi"/>
          <w:shd w:val="clear" w:color="auto" w:fill="FFFFFF"/>
        </w:rPr>
        <w:t>time”</w:t>
      </w:r>
      <w:r w:rsidR="00DC62C3" w:rsidRPr="00CF264B">
        <w:rPr>
          <w:rFonts w:cstheme="minorHAnsi"/>
          <w:shd w:val="clear" w:color="auto" w:fill="FFFFFF"/>
        </w:rPr>
        <w:t>.</w:t>
      </w:r>
      <w:r w:rsidR="00DC62C3" w:rsidRPr="00CF264B">
        <w:rPr>
          <w:rStyle w:val="FootnoteReference"/>
          <w:rFonts w:cstheme="minorHAnsi"/>
          <w:shd w:val="clear" w:color="auto" w:fill="FFFFFF"/>
        </w:rPr>
        <w:footnoteReference w:id="26"/>
      </w:r>
    </w:p>
    <w:p w14:paraId="06BCBE22" w14:textId="08F38607" w:rsidR="00FB6C17" w:rsidRPr="00CF264B" w:rsidRDefault="00FB6C17" w:rsidP="009273DF">
      <w:pPr>
        <w:jc w:val="both"/>
        <w:rPr>
          <w:rFonts w:cstheme="minorHAnsi"/>
          <w:shd w:val="clear" w:color="auto" w:fill="FFFFFF"/>
        </w:rPr>
      </w:pPr>
      <w:r w:rsidRPr="00CF264B">
        <w:rPr>
          <w:rFonts w:cstheme="minorHAnsi"/>
          <w:shd w:val="clear" w:color="auto" w:fill="FFFFFF"/>
        </w:rPr>
        <w:t>The first component of Option Three is the leadership structure. The Government intends that the leadership</w:t>
      </w:r>
      <w:r w:rsidR="00A77265" w:rsidRPr="00CF264B">
        <w:rPr>
          <w:rFonts w:cstheme="minorHAnsi"/>
          <w:shd w:val="clear" w:color="auto" w:fill="FFFFFF"/>
        </w:rPr>
        <w:t>, as envisaged in the legislation, is</w:t>
      </w:r>
      <w:r w:rsidRPr="00CF264B">
        <w:rPr>
          <w:rFonts w:cstheme="minorHAnsi"/>
          <w:shd w:val="clear" w:color="auto" w:fill="FFFFFF"/>
        </w:rPr>
        <w:t xml:space="preserve"> shared across a new </w:t>
      </w:r>
      <w:r w:rsidRPr="00CF264B">
        <w:rPr>
          <w:rFonts w:cstheme="minorHAnsi"/>
          <w:shd w:val="clear" w:color="auto" w:fill="FFFFFF"/>
        </w:rPr>
        <w:lastRenderedPageBreak/>
        <w:t>Accessibility Governance Board</w:t>
      </w:r>
      <w:r w:rsidR="00A77265" w:rsidRPr="00CF264B">
        <w:rPr>
          <w:rFonts w:cstheme="minorHAnsi"/>
          <w:shd w:val="clear" w:color="auto" w:fill="FFFFFF"/>
        </w:rPr>
        <w:t xml:space="preserve"> (AGB), the Minister for Disability, and a Chief Executive.</w:t>
      </w:r>
      <w:r w:rsidR="00A77265" w:rsidRPr="00CF264B">
        <w:rPr>
          <w:rStyle w:val="FootnoteReference"/>
          <w:rFonts w:cstheme="minorHAnsi"/>
          <w:shd w:val="clear" w:color="auto" w:fill="FFFFFF"/>
        </w:rPr>
        <w:footnoteReference w:id="27"/>
      </w:r>
    </w:p>
    <w:p w14:paraId="1E94F51E" w14:textId="2E609045" w:rsidR="00AB69AB" w:rsidRPr="00CF264B" w:rsidRDefault="00AB69AB" w:rsidP="009273DF">
      <w:pPr>
        <w:jc w:val="both"/>
        <w:rPr>
          <w:rFonts w:cstheme="minorHAnsi"/>
          <w:shd w:val="clear" w:color="auto" w:fill="FFFFFF"/>
        </w:rPr>
      </w:pPr>
      <w:r w:rsidRPr="00CF264B">
        <w:rPr>
          <w:rFonts w:cstheme="minorHAnsi"/>
          <w:shd w:val="clear" w:color="auto" w:fill="FFFFFF"/>
        </w:rPr>
        <w:t>The AGB is described as “independent”, although not an Independent Crown Entity</w:t>
      </w:r>
      <w:r w:rsidR="00ED035E">
        <w:rPr>
          <w:rFonts w:cstheme="minorHAnsi"/>
          <w:shd w:val="clear" w:color="auto" w:fill="FFFFFF"/>
        </w:rPr>
        <w:t xml:space="preserve"> </w:t>
      </w:r>
      <w:r w:rsidRPr="00CF264B">
        <w:rPr>
          <w:rFonts w:cstheme="minorHAnsi"/>
          <w:shd w:val="clear" w:color="auto" w:fill="FFFFFF"/>
        </w:rPr>
        <w:t xml:space="preserve">similar to the Human Rights Commission, or the Commerce Commission. </w:t>
      </w:r>
      <w:r w:rsidR="002402B2" w:rsidRPr="00CF264B">
        <w:rPr>
          <w:rFonts w:cstheme="minorHAnsi"/>
          <w:shd w:val="clear" w:color="auto" w:fill="FFFFFF"/>
        </w:rPr>
        <w:t xml:space="preserve">The Independent Crown Entity option was specifically rejected due to concerns about ‘silo’ working, lack of mandate, time to set up, and expense. </w:t>
      </w:r>
      <w:r w:rsidRPr="00CF264B">
        <w:rPr>
          <w:rFonts w:cstheme="minorHAnsi"/>
          <w:shd w:val="clear" w:color="auto" w:fill="FFFFFF"/>
        </w:rPr>
        <w:t xml:space="preserve">It is instead a </w:t>
      </w:r>
      <w:r w:rsidR="00773C18" w:rsidRPr="00CF264B">
        <w:rPr>
          <w:rFonts w:cstheme="minorHAnsi"/>
          <w:shd w:val="clear" w:color="auto" w:fill="FFFFFF"/>
        </w:rPr>
        <w:t>ministerially appointed</w:t>
      </w:r>
      <w:r w:rsidRPr="00CF264B">
        <w:rPr>
          <w:rFonts w:cstheme="minorHAnsi"/>
          <w:shd w:val="clear" w:color="auto" w:fill="FFFFFF"/>
        </w:rPr>
        <w:t xml:space="preserve"> advisory board</w:t>
      </w:r>
      <w:r w:rsidR="00773C18" w:rsidRPr="00CF264B">
        <w:rPr>
          <w:rFonts w:cstheme="minorHAnsi"/>
          <w:shd w:val="clear" w:color="auto" w:fill="FFFFFF"/>
        </w:rPr>
        <w:t>, made up of disabled people</w:t>
      </w:r>
      <w:r w:rsidRPr="00CF264B">
        <w:rPr>
          <w:rFonts w:cstheme="minorHAnsi"/>
          <w:shd w:val="clear" w:color="auto" w:fill="FFFFFF"/>
        </w:rPr>
        <w:t xml:space="preserve">. </w:t>
      </w:r>
      <w:r w:rsidR="00773C18" w:rsidRPr="00CF264B">
        <w:rPr>
          <w:rFonts w:cstheme="minorHAnsi"/>
          <w:shd w:val="clear" w:color="auto" w:fill="FFFFFF"/>
        </w:rPr>
        <w:t>The AGB is intended to provide an “independent voice” to the Minister on barriers and the proposed solutions for removal.</w:t>
      </w:r>
      <w:r w:rsidR="00773C18" w:rsidRPr="00CF264B">
        <w:rPr>
          <w:rStyle w:val="FootnoteReference"/>
          <w:rFonts w:cstheme="minorHAnsi"/>
          <w:shd w:val="clear" w:color="auto" w:fill="FFFFFF"/>
        </w:rPr>
        <w:footnoteReference w:id="28"/>
      </w:r>
    </w:p>
    <w:p w14:paraId="797E4458" w14:textId="78F958B7" w:rsidR="00773C18" w:rsidRPr="00CF264B" w:rsidRDefault="00773C18" w:rsidP="009273DF">
      <w:pPr>
        <w:jc w:val="both"/>
        <w:rPr>
          <w:rFonts w:cstheme="minorHAnsi"/>
          <w:shd w:val="clear" w:color="auto" w:fill="FFFFFF"/>
        </w:rPr>
      </w:pPr>
      <w:r w:rsidRPr="00CF264B">
        <w:rPr>
          <w:rFonts w:cstheme="minorHAnsi"/>
          <w:shd w:val="clear" w:color="auto" w:fill="FFFFFF"/>
        </w:rPr>
        <w:t xml:space="preserve">The powers of the AGB are not yet fully determined and are subject to consultation. The initial </w:t>
      </w:r>
      <w:r w:rsidR="00866834" w:rsidRPr="00CF264B">
        <w:rPr>
          <w:rFonts w:cstheme="minorHAnsi"/>
          <w:shd w:val="clear" w:color="auto" w:fill="FFFFFF"/>
        </w:rPr>
        <w:t xml:space="preserve">leadership </w:t>
      </w:r>
      <w:r w:rsidRPr="00CF264B">
        <w:rPr>
          <w:rFonts w:cstheme="minorHAnsi"/>
          <w:shd w:val="clear" w:color="auto" w:fill="FFFFFF"/>
        </w:rPr>
        <w:t xml:space="preserve">functions </w:t>
      </w:r>
      <w:r w:rsidR="00ED035E">
        <w:rPr>
          <w:rFonts w:cstheme="minorHAnsi"/>
          <w:shd w:val="clear" w:color="auto" w:fill="FFFFFF"/>
        </w:rPr>
        <w:t>of</w:t>
      </w:r>
      <w:r w:rsidRPr="00CF264B">
        <w:rPr>
          <w:rFonts w:cstheme="minorHAnsi"/>
          <w:shd w:val="clear" w:color="auto" w:fill="FFFFFF"/>
        </w:rPr>
        <w:t xml:space="preserve"> the AGB in the RIS includes advice on strategic direction, identification of barriers</w:t>
      </w:r>
      <w:r w:rsidR="00866834" w:rsidRPr="00CF264B">
        <w:rPr>
          <w:rFonts w:cstheme="minorHAnsi"/>
          <w:shd w:val="clear" w:color="auto" w:fill="FFFFFF"/>
        </w:rPr>
        <w:t>, working with the Minister to address barriers, and review</w:t>
      </w:r>
      <w:r w:rsidR="00457D3D">
        <w:rPr>
          <w:rFonts w:cstheme="minorHAnsi"/>
          <w:shd w:val="clear" w:color="auto" w:fill="FFFFFF"/>
        </w:rPr>
        <w:t>ing</w:t>
      </w:r>
      <w:r w:rsidR="00866834" w:rsidRPr="00CF264B">
        <w:rPr>
          <w:rFonts w:cstheme="minorHAnsi"/>
          <w:shd w:val="clear" w:color="auto" w:fill="FFFFFF"/>
        </w:rPr>
        <w:t xml:space="preserve"> and monitor</w:t>
      </w:r>
      <w:r w:rsidR="00457D3D">
        <w:rPr>
          <w:rFonts w:cstheme="minorHAnsi"/>
          <w:shd w:val="clear" w:color="auto" w:fill="FFFFFF"/>
        </w:rPr>
        <w:t>ing</w:t>
      </w:r>
      <w:r w:rsidR="00866834" w:rsidRPr="00CF264B">
        <w:rPr>
          <w:rFonts w:cstheme="minorHAnsi"/>
          <w:shd w:val="clear" w:color="auto" w:fill="FFFFFF"/>
        </w:rPr>
        <w:t xml:space="preserve"> accessibility progress.</w:t>
      </w:r>
      <w:r w:rsidR="00866834" w:rsidRPr="00CF264B">
        <w:rPr>
          <w:rStyle w:val="FootnoteReference"/>
          <w:rFonts w:cstheme="minorHAnsi"/>
          <w:shd w:val="clear" w:color="auto" w:fill="FFFFFF"/>
        </w:rPr>
        <w:footnoteReference w:id="29"/>
      </w:r>
    </w:p>
    <w:p w14:paraId="7835330C" w14:textId="046A9DA9" w:rsidR="00866834" w:rsidRPr="00CF264B" w:rsidRDefault="00ED035E" w:rsidP="00866834">
      <w:pPr>
        <w:jc w:val="both"/>
        <w:rPr>
          <w:rFonts w:cstheme="minorHAnsi"/>
          <w:shd w:val="clear" w:color="auto" w:fill="FFFFFF"/>
        </w:rPr>
      </w:pPr>
      <w:r>
        <w:rPr>
          <w:rFonts w:cstheme="minorHAnsi"/>
          <w:shd w:val="clear" w:color="auto" w:fill="FFFFFF"/>
        </w:rPr>
        <w:t>Limited c</w:t>
      </w:r>
      <w:r w:rsidR="00866834" w:rsidRPr="00CF264B">
        <w:rPr>
          <w:rFonts w:cstheme="minorHAnsi"/>
          <w:shd w:val="clear" w:color="auto" w:fill="FFFFFF"/>
        </w:rPr>
        <w:t xml:space="preserve">onsultation with specific groups </w:t>
      </w:r>
      <w:r>
        <w:rPr>
          <w:rFonts w:cstheme="minorHAnsi"/>
          <w:shd w:val="clear" w:color="auto" w:fill="FFFFFF"/>
        </w:rPr>
        <w:t xml:space="preserve">has been </w:t>
      </w:r>
      <w:r w:rsidR="00C3239A" w:rsidRPr="00CF264B">
        <w:rPr>
          <w:rFonts w:cstheme="minorHAnsi"/>
          <w:shd w:val="clear" w:color="auto" w:fill="FFFFFF"/>
        </w:rPr>
        <w:t>undertaken</w:t>
      </w:r>
      <w:r w:rsidR="00866834" w:rsidRPr="00CF264B">
        <w:rPr>
          <w:rFonts w:cstheme="minorHAnsi"/>
          <w:shd w:val="clear" w:color="auto" w:fill="FFFFFF"/>
        </w:rPr>
        <w:t xml:space="preserve"> since the release of the RIS. Th</w:t>
      </w:r>
      <w:r>
        <w:rPr>
          <w:rFonts w:cstheme="minorHAnsi"/>
          <w:shd w:val="clear" w:color="auto" w:fill="FFFFFF"/>
        </w:rPr>
        <w:t>e</w:t>
      </w:r>
      <w:r w:rsidR="00866834" w:rsidRPr="00CF264B">
        <w:rPr>
          <w:rFonts w:cstheme="minorHAnsi"/>
          <w:shd w:val="clear" w:color="auto" w:fill="FFFFFF"/>
        </w:rPr>
        <w:t xml:space="preserve"> consultation d</w:t>
      </w:r>
      <w:r w:rsidR="00C3239A" w:rsidRPr="00CF264B">
        <w:rPr>
          <w:rFonts w:cstheme="minorHAnsi"/>
          <w:shd w:val="clear" w:color="auto" w:fill="FFFFFF"/>
        </w:rPr>
        <w:t>ea</w:t>
      </w:r>
      <w:r w:rsidR="006323B3" w:rsidRPr="00CF264B">
        <w:rPr>
          <w:rFonts w:cstheme="minorHAnsi"/>
          <w:shd w:val="clear" w:color="auto" w:fill="FFFFFF"/>
        </w:rPr>
        <w:t>l</w:t>
      </w:r>
      <w:r>
        <w:rPr>
          <w:rFonts w:cstheme="minorHAnsi"/>
          <w:shd w:val="clear" w:color="auto" w:fill="FFFFFF"/>
        </w:rPr>
        <w:t>t</w:t>
      </w:r>
      <w:r w:rsidR="00C3239A" w:rsidRPr="00CF264B">
        <w:rPr>
          <w:rFonts w:cstheme="minorHAnsi"/>
          <w:shd w:val="clear" w:color="auto" w:fill="FFFFFF"/>
        </w:rPr>
        <w:t xml:space="preserve"> with </w:t>
      </w:r>
      <w:r w:rsidR="002402B2" w:rsidRPr="00CF264B">
        <w:rPr>
          <w:rFonts w:cstheme="minorHAnsi"/>
          <w:shd w:val="clear" w:color="auto" w:fill="FFFFFF"/>
        </w:rPr>
        <w:t>elements</w:t>
      </w:r>
      <w:r w:rsidR="00C3239A" w:rsidRPr="00CF264B">
        <w:rPr>
          <w:rFonts w:cstheme="minorHAnsi"/>
          <w:shd w:val="clear" w:color="auto" w:fill="FFFFFF"/>
        </w:rPr>
        <w:t xml:space="preserve"> of the Board, including proposed name, membership</w:t>
      </w:r>
      <w:r w:rsidR="00601CA3" w:rsidRPr="00CF264B">
        <w:rPr>
          <w:rFonts w:cstheme="minorHAnsi"/>
          <w:shd w:val="clear" w:color="auto" w:fill="FFFFFF"/>
        </w:rPr>
        <w:t>, appointment mechanisms, and accountability to the disability community.</w:t>
      </w:r>
      <w:r w:rsidR="00601CA3" w:rsidRPr="00CF264B">
        <w:rPr>
          <w:rStyle w:val="FootnoteReference"/>
          <w:rFonts w:cstheme="minorHAnsi"/>
          <w:shd w:val="clear" w:color="auto" w:fill="FFFFFF"/>
        </w:rPr>
        <w:footnoteReference w:id="30"/>
      </w:r>
    </w:p>
    <w:p w14:paraId="18E53D46" w14:textId="7702F9B9" w:rsidR="00990B63" w:rsidRPr="00CF264B" w:rsidRDefault="00990B63" w:rsidP="00866834">
      <w:pPr>
        <w:jc w:val="both"/>
        <w:rPr>
          <w:rFonts w:cstheme="minorHAnsi"/>
          <w:shd w:val="clear" w:color="auto" w:fill="FFFFFF"/>
        </w:rPr>
      </w:pPr>
      <w:r w:rsidRPr="00CF264B">
        <w:rPr>
          <w:rFonts w:cstheme="minorHAnsi"/>
          <w:shd w:val="clear" w:color="auto" w:fill="FFFFFF"/>
        </w:rPr>
        <w:t>It is clear therefore, that the AGB is part of a 3-</w:t>
      </w:r>
      <w:r w:rsidR="00F54DB0" w:rsidRPr="00CF264B">
        <w:rPr>
          <w:rFonts w:cstheme="minorHAnsi"/>
          <w:shd w:val="clear" w:color="auto" w:fill="FFFFFF"/>
        </w:rPr>
        <w:t>part</w:t>
      </w:r>
      <w:r w:rsidRPr="00CF264B">
        <w:rPr>
          <w:rFonts w:cstheme="minorHAnsi"/>
          <w:shd w:val="clear" w:color="auto" w:fill="FFFFFF"/>
        </w:rPr>
        <w:t xml:space="preserve"> leadership structure, has limited independence, and limited power</w:t>
      </w:r>
      <w:r w:rsidR="00EA7B55" w:rsidRPr="00CF264B">
        <w:rPr>
          <w:rFonts w:cstheme="minorHAnsi"/>
          <w:shd w:val="clear" w:color="auto" w:fill="FFFFFF"/>
        </w:rPr>
        <w:t>s</w:t>
      </w:r>
      <w:r w:rsidRPr="00CF264B">
        <w:rPr>
          <w:rFonts w:cstheme="minorHAnsi"/>
          <w:shd w:val="clear" w:color="auto" w:fill="FFFFFF"/>
        </w:rPr>
        <w:t xml:space="preserve">. Consistent with the Government’s non-prescriptive approach, the Board has no powers </w:t>
      </w:r>
      <w:r w:rsidR="00EA19BC" w:rsidRPr="00CF264B">
        <w:rPr>
          <w:rFonts w:cstheme="minorHAnsi"/>
          <w:shd w:val="clear" w:color="auto" w:fill="FFFFFF"/>
        </w:rPr>
        <w:t xml:space="preserve">of regulation or enforcement. </w:t>
      </w:r>
    </w:p>
    <w:p w14:paraId="69FAD4A4" w14:textId="072FC1CB" w:rsidR="007939E7" w:rsidRPr="00CF264B" w:rsidRDefault="002402B2" w:rsidP="007939E7">
      <w:pPr>
        <w:jc w:val="both"/>
        <w:rPr>
          <w:rFonts w:cstheme="minorHAnsi"/>
          <w:shd w:val="clear" w:color="auto" w:fill="FFFFFF"/>
        </w:rPr>
      </w:pPr>
      <w:r w:rsidRPr="00CF264B">
        <w:rPr>
          <w:rFonts w:cstheme="minorHAnsi"/>
          <w:shd w:val="clear" w:color="auto" w:fill="FFFFFF"/>
        </w:rPr>
        <w:t>The second major component of the legislation is the creation of a</w:t>
      </w:r>
      <w:r w:rsidR="00F54DB0" w:rsidRPr="00CF264B">
        <w:rPr>
          <w:rFonts w:cstheme="minorHAnsi"/>
          <w:shd w:val="clear" w:color="auto" w:fill="FFFFFF"/>
        </w:rPr>
        <w:t>n accessibility</w:t>
      </w:r>
      <w:r w:rsidRPr="00CF264B">
        <w:rPr>
          <w:rFonts w:cstheme="minorHAnsi"/>
          <w:shd w:val="clear" w:color="auto" w:fill="FFFFFF"/>
        </w:rPr>
        <w:t xml:space="preserve"> framework</w:t>
      </w:r>
      <w:r w:rsidR="00F54DB0" w:rsidRPr="00CF264B">
        <w:rPr>
          <w:rFonts w:cstheme="minorHAnsi"/>
          <w:shd w:val="clear" w:color="auto" w:fill="FFFFFF"/>
        </w:rPr>
        <w:t xml:space="preserve">. The aim of the framework is to prevent, identify and remove barriers across domains. </w:t>
      </w:r>
      <w:r w:rsidR="007939E7" w:rsidRPr="00CF264B">
        <w:rPr>
          <w:rFonts w:cstheme="minorHAnsi"/>
          <w:shd w:val="clear" w:color="auto" w:fill="FFFFFF"/>
        </w:rPr>
        <w:t>Although still subject to a co-design process, some elements of the framework are clear</w:t>
      </w:r>
      <w:r w:rsidR="00BE1D0C" w:rsidRPr="00CF264B">
        <w:rPr>
          <w:rFonts w:cstheme="minorHAnsi"/>
          <w:shd w:val="clear" w:color="auto" w:fill="FFFFFF"/>
        </w:rPr>
        <w:t xml:space="preserve">. The framework will contain monitoring and evaluation functions, with consistent methodologies to allow the AGB to measure progress. </w:t>
      </w:r>
    </w:p>
    <w:p w14:paraId="4E2A4942" w14:textId="2A339DD3" w:rsidR="00BE1D0C" w:rsidRPr="00CF264B" w:rsidRDefault="00DB7DDE" w:rsidP="007939E7">
      <w:pPr>
        <w:jc w:val="both"/>
        <w:rPr>
          <w:rFonts w:cstheme="minorHAnsi"/>
          <w:shd w:val="clear" w:color="auto" w:fill="FFFFFF"/>
        </w:rPr>
      </w:pPr>
      <w:r>
        <w:rPr>
          <w:rFonts w:cstheme="minorHAnsi"/>
          <w:shd w:val="clear" w:color="auto" w:fill="FFFFFF"/>
        </w:rPr>
        <w:t>within</w:t>
      </w:r>
      <w:r w:rsidR="00ED035E">
        <w:rPr>
          <w:rFonts w:cstheme="minorHAnsi"/>
          <w:shd w:val="clear" w:color="auto" w:fill="FFFFFF"/>
        </w:rPr>
        <w:t xml:space="preserve"> the </w:t>
      </w:r>
      <w:r w:rsidR="00C14EF1" w:rsidRPr="00CF264B">
        <w:rPr>
          <w:rFonts w:cstheme="minorHAnsi"/>
          <w:shd w:val="clear" w:color="auto" w:fill="FFFFFF"/>
        </w:rPr>
        <w:t xml:space="preserve">recent </w:t>
      </w:r>
      <w:r w:rsidR="00BE1D0C" w:rsidRPr="00CF264B">
        <w:rPr>
          <w:rFonts w:cstheme="minorHAnsi"/>
          <w:shd w:val="clear" w:color="auto" w:fill="FFFFFF"/>
        </w:rPr>
        <w:t>consultation</w:t>
      </w:r>
      <w:r w:rsidR="00ED035E">
        <w:rPr>
          <w:rFonts w:cstheme="minorHAnsi"/>
          <w:shd w:val="clear" w:color="auto" w:fill="FFFFFF"/>
        </w:rPr>
        <w:t xml:space="preserve"> document,</w:t>
      </w:r>
      <w:r w:rsidR="00C14EF1" w:rsidRPr="00CF264B">
        <w:rPr>
          <w:rFonts w:cstheme="minorHAnsi"/>
          <w:shd w:val="clear" w:color="auto" w:fill="FFFFFF"/>
        </w:rPr>
        <w:t xml:space="preserve"> a general outline </w:t>
      </w:r>
      <w:r w:rsidR="00457D3D">
        <w:rPr>
          <w:rFonts w:cstheme="minorHAnsi"/>
          <w:shd w:val="clear" w:color="auto" w:fill="FFFFFF"/>
        </w:rPr>
        <w:t xml:space="preserve">of </w:t>
      </w:r>
      <w:r w:rsidR="00C14EF1" w:rsidRPr="00CF264B">
        <w:rPr>
          <w:rFonts w:cstheme="minorHAnsi"/>
          <w:shd w:val="clear" w:color="auto" w:fill="FFFFFF"/>
        </w:rPr>
        <w:t xml:space="preserve">the framework </w:t>
      </w:r>
      <w:r w:rsidR="00FA505A" w:rsidRPr="00CF264B">
        <w:rPr>
          <w:rFonts w:cstheme="minorHAnsi"/>
          <w:shd w:val="clear" w:color="auto" w:fill="FFFFFF"/>
        </w:rPr>
        <w:t>is</w:t>
      </w:r>
      <w:r w:rsidR="00C14EF1" w:rsidRPr="00CF264B">
        <w:rPr>
          <w:rFonts w:cstheme="minorHAnsi"/>
          <w:shd w:val="clear" w:color="auto" w:fill="FFFFFF"/>
        </w:rPr>
        <w:t xml:space="preserve"> proposed.</w:t>
      </w:r>
      <w:r w:rsidR="00C14EF1" w:rsidRPr="00CF264B">
        <w:rPr>
          <w:rStyle w:val="FootnoteReference"/>
          <w:rFonts w:cstheme="minorHAnsi"/>
          <w:shd w:val="clear" w:color="auto" w:fill="FFFFFF"/>
        </w:rPr>
        <w:footnoteReference w:id="31"/>
      </w:r>
      <w:r w:rsidR="007411D8">
        <w:rPr>
          <w:rFonts w:cstheme="minorHAnsi"/>
          <w:shd w:val="clear" w:color="auto" w:fill="FFFFFF"/>
        </w:rPr>
        <w:t xml:space="preserve"> </w:t>
      </w:r>
      <w:r w:rsidR="00C14EF1" w:rsidRPr="00CF264B">
        <w:rPr>
          <w:rFonts w:cstheme="minorHAnsi"/>
          <w:shd w:val="clear" w:color="auto" w:fill="FFFFFF"/>
        </w:rPr>
        <w:t>The process start</w:t>
      </w:r>
      <w:r w:rsidR="005E6E8F">
        <w:rPr>
          <w:rFonts w:cstheme="minorHAnsi"/>
          <w:shd w:val="clear" w:color="auto" w:fill="FFFFFF"/>
        </w:rPr>
        <w:t>s</w:t>
      </w:r>
      <w:r w:rsidR="00C14EF1" w:rsidRPr="00CF264B">
        <w:rPr>
          <w:rFonts w:cstheme="minorHAnsi"/>
          <w:shd w:val="clear" w:color="auto" w:fill="FFFFFF"/>
        </w:rPr>
        <w:t xml:space="preserve"> with the identification of a systemic barrier. The scope of the barrier </w:t>
      </w:r>
      <w:r w:rsidR="005E6E8F">
        <w:rPr>
          <w:rFonts w:cstheme="minorHAnsi"/>
          <w:shd w:val="clear" w:color="auto" w:fill="FFFFFF"/>
        </w:rPr>
        <w:t xml:space="preserve">is </w:t>
      </w:r>
      <w:r w:rsidR="00C14EF1" w:rsidRPr="00CF264B">
        <w:rPr>
          <w:rFonts w:cstheme="minorHAnsi"/>
          <w:shd w:val="clear" w:color="auto" w:fill="FFFFFF"/>
        </w:rPr>
        <w:t xml:space="preserve">defined through research. Solutions </w:t>
      </w:r>
      <w:r w:rsidR="005E6E8F">
        <w:rPr>
          <w:rFonts w:cstheme="minorHAnsi"/>
          <w:shd w:val="clear" w:color="auto" w:fill="FFFFFF"/>
        </w:rPr>
        <w:t xml:space="preserve">are formulated using </w:t>
      </w:r>
      <w:r w:rsidR="00A0672B" w:rsidRPr="00CF264B">
        <w:rPr>
          <w:rFonts w:cstheme="minorHAnsi"/>
          <w:shd w:val="clear" w:color="auto" w:fill="FFFFFF"/>
        </w:rPr>
        <w:t>appropriate</w:t>
      </w:r>
      <w:r w:rsidR="00C14EF1" w:rsidRPr="00CF264B">
        <w:rPr>
          <w:rFonts w:cstheme="minorHAnsi"/>
          <w:shd w:val="clear" w:color="auto" w:fill="FFFFFF"/>
        </w:rPr>
        <w:t xml:space="preserve"> experts </w:t>
      </w:r>
      <w:r w:rsidR="00A0672B" w:rsidRPr="00CF264B">
        <w:rPr>
          <w:rFonts w:cstheme="minorHAnsi"/>
          <w:shd w:val="clear" w:color="auto" w:fill="FFFFFF"/>
        </w:rPr>
        <w:t xml:space="preserve">and people with experience of the barrier. Recommendations </w:t>
      </w:r>
      <w:r w:rsidR="005E6E8F">
        <w:rPr>
          <w:rFonts w:cstheme="minorHAnsi"/>
          <w:shd w:val="clear" w:color="auto" w:fill="FFFFFF"/>
        </w:rPr>
        <w:t>are</w:t>
      </w:r>
      <w:r w:rsidR="00A0672B" w:rsidRPr="00CF264B">
        <w:rPr>
          <w:rFonts w:cstheme="minorHAnsi"/>
          <w:shd w:val="clear" w:color="auto" w:fill="FFFFFF"/>
        </w:rPr>
        <w:t xml:space="preserve"> then made to decision makers. The final step is an ongoing monitoring process to ensure progress and to learn from anything that d</w:t>
      </w:r>
      <w:r w:rsidR="005E6E8F">
        <w:rPr>
          <w:rFonts w:cstheme="minorHAnsi"/>
          <w:shd w:val="clear" w:color="auto" w:fill="FFFFFF"/>
        </w:rPr>
        <w:t>oes</w:t>
      </w:r>
      <w:r w:rsidR="00A0672B" w:rsidRPr="00CF264B">
        <w:rPr>
          <w:rFonts w:cstheme="minorHAnsi"/>
          <w:shd w:val="clear" w:color="auto" w:fill="FFFFFF"/>
        </w:rPr>
        <w:t xml:space="preserve"> not work as intended. </w:t>
      </w:r>
    </w:p>
    <w:p w14:paraId="4692A678" w14:textId="1701A6F4" w:rsidR="00A0672B" w:rsidRPr="00CF264B" w:rsidRDefault="00A0672B" w:rsidP="007939E7">
      <w:pPr>
        <w:jc w:val="both"/>
        <w:rPr>
          <w:rFonts w:cstheme="minorHAnsi"/>
          <w:shd w:val="clear" w:color="auto" w:fill="FFFFFF"/>
        </w:rPr>
      </w:pPr>
      <w:r w:rsidRPr="00CF264B">
        <w:rPr>
          <w:rFonts w:cstheme="minorHAnsi"/>
          <w:shd w:val="clear" w:color="auto" w:fill="FFFFFF"/>
        </w:rPr>
        <w:lastRenderedPageBreak/>
        <w:t>Again, consistent with the legislation’s non-prescriptive approach, as currently envisaged the framework requires only recommendations to be made to decision</w:t>
      </w:r>
      <w:r w:rsidR="005E6E8F">
        <w:rPr>
          <w:rFonts w:cstheme="minorHAnsi"/>
          <w:shd w:val="clear" w:color="auto" w:fill="FFFFFF"/>
        </w:rPr>
        <w:t xml:space="preserve"> </w:t>
      </w:r>
      <w:r w:rsidRPr="00CF264B">
        <w:rPr>
          <w:rFonts w:cstheme="minorHAnsi"/>
          <w:shd w:val="clear" w:color="auto" w:fill="FFFFFF"/>
        </w:rPr>
        <w:t xml:space="preserve">makers. It does not require, for example, enforceable standards to be created, or any enforcement mechanisms should recommendations not be taken up. </w:t>
      </w:r>
    </w:p>
    <w:p w14:paraId="4B0A829F" w14:textId="03B40D13" w:rsidR="008524CA" w:rsidRPr="00CF264B" w:rsidRDefault="008524CA" w:rsidP="007939E7">
      <w:pPr>
        <w:jc w:val="both"/>
        <w:rPr>
          <w:rFonts w:cstheme="minorHAnsi"/>
          <w:shd w:val="clear" w:color="auto" w:fill="FFFFFF"/>
        </w:rPr>
      </w:pPr>
      <w:r w:rsidRPr="00CF264B">
        <w:rPr>
          <w:rFonts w:cstheme="minorHAnsi"/>
          <w:shd w:val="clear" w:color="auto" w:fill="FFFFFF"/>
        </w:rPr>
        <w:t xml:space="preserve">There is reference in the Cabinet Paper to </w:t>
      </w:r>
      <w:r w:rsidR="005E6E8F">
        <w:rPr>
          <w:rFonts w:cstheme="minorHAnsi"/>
          <w:shd w:val="clear" w:color="auto" w:fill="FFFFFF"/>
        </w:rPr>
        <w:t>provide within the</w:t>
      </w:r>
      <w:r w:rsidRPr="00CF264B">
        <w:rPr>
          <w:rFonts w:cstheme="minorHAnsi"/>
          <w:shd w:val="clear" w:color="auto" w:fill="FFFFFF"/>
        </w:rPr>
        <w:t xml:space="preserve"> framework </w:t>
      </w:r>
      <w:r w:rsidR="005E6E8F">
        <w:rPr>
          <w:rFonts w:cstheme="minorHAnsi"/>
          <w:shd w:val="clear" w:color="auto" w:fill="FFFFFF"/>
        </w:rPr>
        <w:t xml:space="preserve">the ability to assess </w:t>
      </w:r>
      <w:r w:rsidRPr="00CF264B">
        <w:rPr>
          <w:rFonts w:cstheme="minorHAnsi"/>
          <w:shd w:val="clear" w:color="auto" w:fill="FFFFFF"/>
        </w:rPr>
        <w:t>whether, “</w:t>
      </w:r>
      <w:r w:rsidR="005E6E8F">
        <w:rPr>
          <w:rFonts w:cstheme="minorHAnsi"/>
          <w:shd w:val="clear" w:color="auto" w:fill="FFFFFF"/>
        </w:rPr>
        <w:t>c</w:t>
      </w:r>
      <w:r w:rsidRPr="00CF264B">
        <w:rPr>
          <w:rFonts w:cstheme="minorHAnsi"/>
          <w:shd w:val="clear" w:color="auto" w:fill="FFFFFF"/>
        </w:rPr>
        <w:t>urrent, regulations, standards and enforcement regimes are fit for purpose and [to ensure] new regulatory systems are developed where necessary.”</w:t>
      </w:r>
      <w:r w:rsidRPr="00CF264B">
        <w:rPr>
          <w:rStyle w:val="FootnoteReference"/>
          <w:rFonts w:cstheme="minorHAnsi"/>
          <w:shd w:val="clear" w:color="auto" w:fill="FFFFFF"/>
        </w:rPr>
        <w:footnoteReference w:id="32"/>
      </w:r>
      <w:r w:rsidRPr="00CF264B">
        <w:rPr>
          <w:rFonts w:cstheme="minorHAnsi"/>
          <w:shd w:val="clear" w:color="auto" w:fill="FFFFFF"/>
        </w:rPr>
        <w:t xml:space="preserve"> It seems likely from the subsequent consultation, however, that the power to </w:t>
      </w:r>
      <w:r w:rsidR="00651B66" w:rsidRPr="00CF264B">
        <w:rPr>
          <w:rFonts w:cstheme="minorHAnsi"/>
          <w:shd w:val="clear" w:color="auto" w:fill="FFFFFF"/>
        </w:rPr>
        <w:t>make</w:t>
      </w:r>
      <w:r w:rsidRPr="00CF264B">
        <w:rPr>
          <w:rFonts w:cstheme="minorHAnsi"/>
          <w:shd w:val="clear" w:color="auto" w:fill="FFFFFF"/>
        </w:rPr>
        <w:t xml:space="preserve"> new regulatory s</w:t>
      </w:r>
      <w:r w:rsidR="00651B66" w:rsidRPr="00CF264B">
        <w:rPr>
          <w:rFonts w:cstheme="minorHAnsi"/>
          <w:shd w:val="clear" w:color="auto" w:fill="FFFFFF"/>
        </w:rPr>
        <w:t>yst</w:t>
      </w:r>
      <w:r w:rsidRPr="00CF264B">
        <w:rPr>
          <w:rFonts w:cstheme="minorHAnsi"/>
          <w:shd w:val="clear" w:color="auto" w:fill="FFFFFF"/>
        </w:rPr>
        <w:t xml:space="preserve">ems will be recommendatory only. </w:t>
      </w:r>
    </w:p>
    <w:p w14:paraId="7B2DC432" w14:textId="63C80083" w:rsidR="00681D43" w:rsidRDefault="00681D43" w:rsidP="007939E7">
      <w:pPr>
        <w:jc w:val="both"/>
        <w:rPr>
          <w:w w:val="105"/>
        </w:rPr>
      </w:pPr>
      <w:r w:rsidRPr="00CF264B">
        <w:rPr>
          <w:rFonts w:cstheme="minorHAnsi"/>
          <w:shd w:val="clear" w:color="auto" w:fill="FFFFFF"/>
        </w:rPr>
        <w:t xml:space="preserve">The risk of this framework has been acknowledged in the Cabinet </w:t>
      </w:r>
      <w:r w:rsidR="00DB7DDE">
        <w:rPr>
          <w:rFonts w:cstheme="minorHAnsi"/>
          <w:shd w:val="clear" w:color="auto" w:fill="FFFFFF"/>
        </w:rPr>
        <w:t>P</w:t>
      </w:r>
      <w:r w:rsidRPr="00CF264B">
        <w:rPr>
          <w:rFonts w:cstheme="minorHAnsi"/>
          <w:shd w:val="clear" w:color="auto" w:fill="FFFFFF"/>
        </w:rPr>
        <w:t>aper in that it, “</w:t>
      </w:r>
      <w:r w:rsidR="005E6E8F">
        <w:rPr>
          <w:rFonts w:cstheme="minorHAnsi"/>
          <w:shd w:val="clear" w:color="auto" w:fill="FFFFFF"/>
        </w:rPr>
        <w:t>r</w:t>
      </w:r>
      <w:r w:rsidRPr="00CF264B">
        <w:rPr>
          <w:rFonts w:cstheme="minorHAnsi"/>
          <w:shd w:val="clear" w:color="auto" w:fill="FFFFFF"/>
        </w:rPr>
        <w:t xml:space="preserve">elies </w:t>
      </w:r>
      <w:r w:rsidRPr="00CF264B">
        <w:rPr>
          <w:w w:val="105"/>
        </w:rPr>
        <w:t>heavily</w:t>
      </w:r>
      <w:r w:rsidRPr="00CF264B">
        <w:rPr>
          <w:spacing w:val="6"/>
          <w:w w:val="105"/>
        </w:rPr>
        <w:t xml:space="preserve"> </w:t>
      </w:r>
      <w:r w:rsidRPr="00CF264B">
        <w:rPr>
          <w:w w:val="105"/>
        </w:rPr>
        <w:t>on</w:t>
      </w:r>
      <w:r w:rsidRPr="00CF264B">
        <w:rPr>
          <w:spacing w:val="1"/>
          <w:w w:val="105"/>
        </w:rPr>
        <w:t xml:space="preserve"> </w:t>
      </w:r>
      <w:r w:rsidRPr="00CF264B">
        <w:rPr>
          <w:w w:val="105"/>
        </w:rPr>
        <w:t>transparency</w:t>
      </w:r>
      <w:r w:rsidRPr="00CF264B">
        <w:rPr>
          <w:spacing w:val="20"/>
          <w:w w:val="105"/>
        </w:rPr>
        <w:t xml:space="preserve"> </w:t>
      </w:r>
      <w:r w:rsidRPr="00CF264B">
        <w:rPr>
          <w:w w:val="105"/>
        </w:rPr>
        <w:t>through</w:t>
      </w:r>
      <w:r w:rsidRPr="00CF264B">
        <w:rPr>
          <w:spacing w:val="2"/>
          <w:w w:val="105"/>
        </w:rPr>
        <w:t xml:space="preserve"> </w:t>
      </w:r>
      <w:r w:rsidRPr="00CF264B">
        <w:rPr>
          <w:w w:val="105"/>
        </w:rPr>
        <w:t>reporting</w:t>
      </w:r>
      <w:r w:rsidRPr="00CF264B">
        <w:rPr>
          <w:spacing w:val="13"/>
          <w:w w:val="105"/>
        </w:rPr>
        <w:t xml:space="preserve"> </w:t>
      </w:r>
      <w:r w:rsidRPr="00CF264B">
        <w:rPr>
          <w:w w:val="105"/>
        </w:rPr>
        <w:t>and</w:t>
      </w:r>
      <w:r w:rsidRPr="00CF264B">
        <w:rPr>
          <w:spacing w:val="-10"/>
          <w:w w:val="105"/>
        </w:rPr>
        <w:t xml:space="preserve"> </w:t>
      </w:r>
      <w:r w:rsidRPr="00CF264B">
        <w:rPr>
          <w:w w:val="105"/>
        </w:rPr>
        <w:t>monitoring</w:t>
      </w:r>
      <w:r w:rsidRPr="00CF264B">
        <w:rPr>
          <w:spacing w:val="15"/>
          <w:w w:val="105"/>
        </w:rPr>
        <w:t xml:space="preserve"> </w:t>
      </w:r>
      <w:r w:rsidRPr="00CF264B">
        <w:rPr>
          <w:w w:val="105"/>
        </w:rPr>
        <w:t>to</w:t>
      </w:r>
      <w:r w:rsidRPr="00CF264B">
        <w:rPr>
          <w:spacing w:val="5"/>
          <w:w w:val="105"/>
        </w:rPr>
        <w:t xml:space="preserve"> </w:t>
      </w:r>
      <w:r w:rsidRPr="00CF264B">
        <w:rPr>
          <w:w w:val="105"/>
        </w:rPr>
        <w:t>incentivise</w:t>
      </w:r>
      <w:r w:rsidRPr="00CF264B">
        <w:rPr>
          <w:spacing w:val="1"/>
          <w:w w:val="105"/>
        </w:rPr>
        <w:t xml:space="preserve"> </w:t>
      </w:r>
      <w:r w:rsidRPr="00CF264B">
        <w:rPr>
          <w:w w:val="105"/>
        </w:rPr>
        <w:t>compliance</w:t>
      </w:r>
      <w:r w:rsidRPr="00CF264B">
        <w:rPr>
          <w:spacing w:val="1"/>
          <w:w w:val="105"/>
        </w:rPr>
        <w:t xml:space="preserve"> </w:t>
      </w:r>
      <w:r w:rsidRPr="00CF264B">
        <w:rPr>
          <w:w w:val="105"/>
        </w:rPr>
        <w:t>with the new system and build in 'teeth' over time.”</w:t>
      </w:r>
      <w:r w:rsidRPr="00CF264B">
        <w:rPr>
          <w:rStyle w:val="FootnoteReference"/>
          <w:w w:val="105"/>
        </w:rPr>
        <w:footnoteReference w:id="33"/>
      </w:r>
    </w:p>
    <w:p w14:paraId="0AC886BF" w14:textId="77777777" w:rsidR="009C38CF" w:rsidRPr="00CF264B" w:rsidRDefault="009C38CF" w:rsidP="007939E7">
      <w:pPr>
        <w:jc w:val="both"/>
        <w:rPr>
          <w:w w:val="105"/>
        </w:rPr>
      </w:pPr>
    </w:p>
    <w:p w14:paraId="372EE1CE" w14:textId="7706DA94" w:rsidR="00C922B7" w:rsidRPr="00CF264B" w:rsidRDefault="00792CCD" w:rsidP="00C754E3">
      <w:pPr>
        <w:pStyle w:val="Heading1"/>
      </w:pPr>
      <w:r w:rsidRPr="00CF264B">
        <w:t xml:space="preserve">6. </w:t>
      </w:r>
      <w:r w:rsidR="00310A34">
        <w:t>Discussion</w:t>
      </w:r>
      <w:r w:rsidR="00C922B7" w:rsidRPr="00CF264B">
        <w:t xml:space="preserve"> </w:t>
      </w:r>
    </w:p>
    <w:p w14:paraId="3D6F3836" w14:textId="77F9C6E1" w:rsidR="006571C8" w:rsidRPr="00CF264B" w:rsidRDefault="00740E73" w:rsidP="001875E3">
      <w:pPr>
        <w:jc w:val="both"/>
        <w:rPr>
          <w:rFonts w:cstheme="minorHAnsi"/>
        </w:rPr>
      </w:pPr>
      <w:r w:rsidRPr="00CF264B">
        <w:rPr>
          <w:rFonts w:cstheme="minorHAnsi"/>
        </w:rPr>
        <w:t>It is clear, therefore, that the proposed legislation contains a philosophy of non-</w:t>
      </w:r>
      <w:r w:rsidR="00031E2F" w:rsidRPr="00CF264B">
        <w:rPr>
          <w:rFonts w:cstheme="minorHAnsi"/>
        </w:rPr>
        <w:t xml:space="preserve">prescription for accessibility. </w:t>
      </w:r>
      <w:r w:rsidR="00631587" w:rsidRPr="00CF264B">
        <w:rPr>
          <w:rFonts w:cstheme="minorHAnsi"/>
        </w:rPr>
        <w:t xml:space="preserve">The lack of standard-setting </w:t>
      </w:r>
      <w:r w:rsidR="00453D9A">
        <w:rPr>
          <w:rFonts w:cstheme="minorHAnsi"/>
        </w:rPr>
        <w:t xml:space="preserve">or </w:t>
      </w:r>
      <w:r w:rsidR="00631587" w:rsidRPr="00CF264B">
        <w:rPr>
          <w:rFonts w:cstheme="minorHAnsi"/>
        </w:rPr>
        <w:t xml:space="preserve">other regulatory or enforcement mechanisms highlights this approach. </w:t>
      </w:r>
      <w:r w:rsidR="00EF477B" w:rsidRPr="00CF264B">
        <w:rPr>
          <w:rFonts w:cstheme="minorHAnsi"/>
        </w:rPr>
        <w:t>The legislation also lacks complaint and dispute resolution functions</w:t>
      </w:r>
      <w:r w:rsidR="00993BEF">
        <w:rPr>
          <w:rFonts w:cstheme="minorHAnsi"/>
        </w:rPr>
        <w:t xml:space="preserve"> (it should be noted that the complaint and dispute resolution functions under the HRA remain in place). </w:t>
      </w:r>
    </w:p>
    <w:p w14:paraId="7591C3D8" w14:textId="71D4AF7B" w:rsidR="006571C8" w:rsidRPr="00CF264B" w:rsidRDefault="001875E3" w:rsidP="001875E3">
      <w:pPr>
        <w:jc w:val="both"/>
        <w:rPr>
          <w:rFonts w:cstheme="minorHAnsi"/>
        </w:rPr>
      </w:pPr>
      <w:r w:rsidRPr="00CF264B">
        <w:rPr>
          <w:rFonts w:cstheme="minorHAnsi"/>
        </w:rPr>
        <w:t xml:space="preserve">This approach differs from that preferred within some sectors of the disability community. For example, </w:t>
      </w:r>
      <w:r w:rsidR="00895DD7">
        <w:rPr>
          <w:rFonts w:cstheme="minorHAnsi"/>
        </w:rPr>
        <w:t>it</w:t>
      </w:r>
      <w:r w:rsidR="00631587" w:rsidRPr="00CF264B">
        <w:rPr>
          <w:rFonts w:cstheme="minorHAnsi"/>
        </w:rPr>
        <w:t xml:space="preserve"> is in direct contrast with the Access Alliance’s principles </w:t>
      </w:r>
      <w:r w:rsidR="006571C8" w:rsidRPr="00CF264B">
        <w:rPr>
          <w:rFonts w:cstheme="minorHAnsi"/>
        </w:rPr>
        <w:t xml:space="preserve">for the legislation. Principle 10 requires a regulatory power with regular review. Principle 9 requires the ability to complain about </w:t>
      </w:r>
      <w:r w:rsidR="00895DD7">
        <w:rPr>
          <w:rFonts w:cstheme="minorHAnsi"/>
        </w:rPr>
        <w:t>breaches</w:t>
      </w:r>
      <w:r w:rsidR="006571C8" w:rsidRPr="00CF264B">
        <w:rPr>
          <w:rFonts w:cstheme="minorHAnsi"/>
        </w:rPr>
        <w:t xml:space="preserve"> of the legislation</w:t>
      </w:r>
      <w:r w:rsidRPr="00CF264B">
        <w:rPr>
          <w:rFonts w:cstheme="minorHAnsi"/>
        </w:rPr>
        <w:t>. Overall, the legislation must be, “</w:t>
      </w:r>
      <w:r w:rsidR="005E6E8F">
        <w:rPr>
          <w:rFonts w:cstheme="minorHAnsi"/>
        </w:rPr>
        <w:t>u</w:t>
      </w:r>
      <w:r w:rsidRPr="00CF264B">
        <w:rPr>
          <w:rFonts w:cstheme="minorHAnsi"/>
        </w:rPr>
        <w:t>nderpinned by effective enforcement mechanisms which lead to real effect.”</w:t>
      </w:r>
      <w:r w:rsidRPr="00CF264B">
        <w:rPr>
          <w:rStyle w:val="FootnoteReference"/>
          <w:rFonts w:cstheme="minorHAnsi"/>
        </w:rPr>
        <w:footnoteReference w:id="34"/>
      </w:r>
    </w:p>
    <w:p w14:paraId="61265039" w14:textId="075CF90C" w:rsidR="00FD73D1" w:rsidRPr="00CF264B" w:rsidRDefault="00FD73D1" w:rsidP="00FD73D1">
      <w:pPr>
        <w:jc w:val="both"/>
        <w:rPr>
          <w:w w:val="105"/>
        </w:rPr>
      </w:pPr>
      <w:r w:rsidRPr="00CF264B">
        <w:rPr>
          <w:w w:val="105"/>
        </w:rPr>
        <w:t xml:space="preserve">Further, the Government itself acknowledged the risk of the framework as not being seen </w:t>
      </w:r>
      <w:r w:rsidR="0033739B">
        <w:rPr>
          <w:w w:val="105"/>
        </w:rPr>
        <w:t>to go, “</w:t>
      </w:r>
      <w:r w:rsidRPr="00CF264B">
        <w:rPr>
          <w:w w:val="105"/>
        </w:rPr>
        <w:t xml:space="preserve">far enough or </w:t>
      </w:r>
      <w:r w:rsidR="0033739B">
        <w:rPr>
          <w:w w:val="105"/>
        </w:rPr>
        <w:t>[bring]</w:t>
      </w:r>
      <w:r w:rsidRPr="00CF264B">
        <w:rPr>
          <w:w w:val="105"/>
        </w:rPr>
        <w:t xml:space="preserve"> about the fundamental change they expect to rebalance the inclusion and participation of disabled people.”</w:t>
      </w:r>
      <w:r w:rsidRPr="00CF264B">
        <w:rPr>
          <w:rStyle w:val="FootnoteReference"/>
          <w:w w:val="105"/>
        </w:rPr>
        <w:footnoteReference w:id="35"/>
      </w:r>
    </w:p>
    <w:p w14:paraId="34E0298B" w14:textId="158EA4C8" w:rsidR="00FD73D1" w:rsidRPr="00CF264B" w:rsidRDefault="00FD73D1" w:rsidP="001875E3">
      <w:pPr>
        <w:jc w:val="both"/>
        <w:rPr>
          <w:rFonts w:cstheme="minorHAnsi"/>
        </w:rPr>
      </w:pPr>
      <w:r w:rsidRPr="00CF264B">
        <w:rPr>
          <w:rFonts w:cstheme="minorHAnsi"/>
        </w:rPr>
        <w:t>A three-year review process for the legislation is proposed in the Cabinet Paper. That review point will allow the Government and disabled people to assess whether “meaningful progress” has been made.</w:t>
      </w:r>
      <w:r w:rsidRPr="00CF264B">
        <w:rPr>
          <w:rStyle w:val="FootnoteReference"/>
          <w:rFonts w:cstheme="minorHAnsi"/>
        </w:rPr>
        <w:footnoteReference w:id="36"/>
      </w:r>
    </w:p>
    <w:p w14:paraId="3FC836AF" w14:textId="7DCABA18" w:rsidR="00287D02" w:rsidRDefault="00287D02" w:rsidP="001875E3">
      <w:pPr>
        <w:jc w:val="both"/>
        <w:rPr>
          <w:rFonts w:cstheme="minorHAnsi"/>
        </w:rPr>
      </w:pPr>
      <w:r>
        <w:rPr>
          <w:rFonts w:cstheme="minorHAnsi"/>
        </w:rPr>
        <w:lastRenderedPageBreak/>
        <w:t xml:space="preserve">The legislative drafting process allows for changes to be made prior to the introduction of a </w:t>
      </w:r>
      <w:r w:rsidR="007503DF">
        <w:rPr>
          <w:rFonts w:cstheme="minorHAnsi"/>
        </w:rPr>
        <w:t>B</w:t>
      </w:r>
      <w:r>
        <w:rPr>
          <w:rFonts w:cstheme="minorHAnsi"/>
        </w:rPr>
        <w:t xml:space="preserve">ill to Parliament. The subsequent Select Committee process also provides an opportunity </w:t>
      </w:r>
      <w:r w:rsidR="007503DF">
        <w:rPr>
          <w:rFonts w:cstheme="minorHAnsi"/>
        </w:rPr>
        <w:t xml:space="preserve">for amendment. </w:t>
      </w:r>
    </w:p>
    <w:p w14:paraId="2E53B48E" w14:textId="27E12ED7" w:rsidR="003E3EB8" w:rsidRPr="00CF264B" w:rsidRDefault="003652AB" w:rsidP="001F748E">
      <w:pPr>
        <w:jc w:val="both"/>
        <w:rPr>
          <w:rFonts w:cstheme="minorHAnsi"/>
        </w:rPr>
      </w:pPr>
      <w:r w:rsidRPr="00CF264B">
        <w:rPr>
          <w:rFonts w:cstheme="minorHAnsi"/>
        </w:rPr>
        <w:t>Any increased enforceability or regulatory mechanisms would</w:t>
      </w:r>
      <w:r w:rsidR="00E41554" w:rsidRPr="00CF264B">
        <w:rPr>
          <w:rFonts w:cstheme="minorHAnsi"/>
        </w:rPr>
        <w:t>, however,</w:t>
      </w:r>
      <w:r w:rsidRPr="00CF264B">
        <w:rPr>
          <w:rFonts w:cstheme="minorHAnsi"/>
        </w:rPr>
        <w:t xml:space="preserve"> require a philosophical shift from the Government in the way it views the accessibility legislation. </w:t>
      </w:r>
      <w:r w:rsidR="007503DF">
        <w:rPr>
          <w:rFonts w:cstheme="minorHAnsi"/>
        </w:rPr>
        <w:t xml:space="preserve">This would require a complete reconsideration by Government of its </w:t>
      </w:r>
      <w:r w:rsidR="00385F85" w:rsidRPr="00CF264B">
        <w:rPr>
          <w:rFonts w:cstheme="minorHAnsi"/>
        </w:rPr>
        <w:t xml:space="preserve">entire approach, including its rejection of Option Four in the RIS. </w:t>
      </w:r>
      <w:r w:rsidR="00300D04" w:rsidRPr="00CF264B">
        <w:rPr>
          <w:rFonts w:cstheme="minorHAnsi"/>
        </w:rPr>
        <w:t xml:space="preserve">A similar option was persuasively outlined in the ‘Making New Zealand Accessible’ report. </w:t>
      </w:r>
      <w:r w:rsidR="00385F85" w:rsidRPr="00CF264B">
        <w:rPr>
          <w:rFonts w:cstheme="minorHAnsi"/>
        </w:rPr>
        <w:t xml:space="preserve">This </w:t>
      </w:r>
      <w:r w:rsidR="00300D04" w:rsidRPr="00CF264B">
        <w:rPr>
          <w:rFonts w:cstheme="minorHAnsi"/>
        </w:rPr>
        <w:t>model</w:t>
      </w:r>
      <w:r w:rsidR="00385F85" w:rsidRPr="00CF264B">
        <w:rPr>
          <w:rFonts w:cstheme="minorHAnsi"/>
        </w:rPr>
        <w:t xml:space="preserve"> proposed an independent regulator, a system to create enforceable standards for the removal of barriers, and a dispute resolution mechanism. The Government could revisit this model, with real efforts to </w:t>
      </w:r>
      <w:r w:rsidR="0042046D" w:rsidRPr="00CF264B">
        <w:rPr>
          <w:rFonts w:cstheme="minorHAnsi"/>
        </w:rPr>
        <w:t>address</w:t>
      </w:r>
      <w:r w:rsidR="00385F85" w:rsidRPr="00CF264B">
        <w:rPr>
          <w:rFonts w:cstheme="minorHAnsi"/>
        </w:rPr>
        <w:t xml:space="preserve"> the </w:t>
      </w:r>
      <w:r w:rsidR="0042046D" w:rsidRPr="00CF264B">
        <w:rPr>
          <w:rFonts w:cstheme="minorHAnsi"/>
        </w:rPr>
        <w:t>obstacles</w:t>
      </w:r>
      <w:r w:rsidR="00385F85" w:rsidRPr="00CF264B">
        <w:rPr>
          <w:rFonts w:cstheme="minorHAnsi"/>
        </w:rPr>
        <w:t xml:space="preserve"> it cited in its rejection of Option Four. </w:t>
      </w:r>
    </w:p>
    <w:p w14:paraId="21221C43" w14:textId="467E4DAD" w:rsidR="001F748E" w:rsidRPr="00CF264B" w:rsidRDefault="00C141CE" w:rsidP="001F748E">
      <w:pPr>
        <w:jc w:val="both"/>
        <w:rPr>
          <w:rFonts w:cstheme="minorHAnsi"/>
        </w:rPr>
      </w:pPr>
      <w:r w:rsidRPr="00CF264B">
        <w:rPr>
          <w:rFonts w:cstheme="minorHAnsi"/>
        </w:rPr>
        <w:t xml:space="preserve">This may be an unlikely possibility. An alternative </w:t>
      </w:r>
      <w:r w:rsidR="00AA115A" w:rsidRPr="00CF264B">
        <w:rPr>
          <w:rFonts w:cstheme="minorHAnsi"/>
        </w:rPr>
        <w:t>is f</w:t>
      </w:r>
      <w:r w:rsidRPr="00CF264B">
        <w:rPr>
          <w:rFonts w:cstheme="minorHAnsi"/>
        </w:rPr>
        <w:t xml:space="preserve">or the Government’s proposed model to be </w:t>
      </w:r>
      <w:r w:rsidR="003E3EB8" w:rsidRPr="00CF264B">
        <w:rPr>
          <w:rFonts w:cstheme="minorHAnsi"/>
        </w:rPr>
        <w:t>strengthened</w:t>
      </w:r>
      <w:r w:rsidRPr="00CF264B">
        <w:rPr>
          <w:rFonts w:cstheme="minorHAnsi"/>
        </w:rPr>
        <w:t xml:space="preserve">, without </w:t>
      </w:r>
      <w:r w:rsidR="00AA115A" w:rsidRPr="00CF264B">
        <w:rPr>
          <w:rFonts w:cstheme="minorHAnsi"/>
        </w:rPr>
        <w:t>raising the</w:t>
      </w:r>
      <w:r w:rsidRPr="00CF264B">
        <w:rPr>
          <w:rFonts w:cstheme="minorHAnsi"/>
        </w:rPr>
        <w:t xml:space="preserve"> </w:t>
      </w:r>
      <w:r w:rsidR="00733B64" w:rsidRPr="00CF264B">
        <w:rPr>
          <w:rFonts w:cstheme="minorHAnsi"/>
        </w:rPr>
        <w:t>Option Four concerns (complexity, inflexibility, expense, time)</w:t>
      </w:r>
      <w:r w:rsidRPr="00CF264B">
        <w:rPr>
          <w:rFonts w:cstheme="minorHAnsi"/>
        </w:rPr>
        <w:t>. The AGB would require greater powers and increased independence. There are</w:t>
      </w:r>
      <w:r w:rsidR="00AA115A" w:rsidRPr="00CF264B">
        <w:rPr>
          <w:rFonts w:cstheme="minorHAnsi"/>
        </w:rPr>
        <w:t xml:space="preserve"> long-standing</w:t>
      </w:r>
      <w:r w:rsidRPr="00CF264B">
        <w:rPr>
          <w:rFonts w:cstheme="minorHAnsi"/>
        </w:rPr>
        <w:t xml:space="preserve"> examples in existing legislation</w:t>
      </w:r>
      <w:r w:rsidR="00A32047">
        <w:rPr>
          <w:rFonts w:cstheme="minorHAnsi"/>
        </w:rPr>
        <w:t>, as discussed below</w:t>
      </w:r>
      <w:r w:rsidRPr="00CF264B">
        <w:rPr>
          <w:rFonts w:cstheme="minorHAnsi"/>
        </w:rPr>
        <w:t xml:space="preserve">. </w:t>
      </w:r>
    </w:p>
    <w:p w14:paraId="0E330753" w14:textId="764A0665" w:rsidR="00C141CE" w:rsidRPr="00CF264B" w:rsidRDefault="00C141CE" w:rsidP="001F748E">
      <w:pPr>
        <w:jc w:val="both"/>
        <w:rPr>
          <w:rFonts w:cstheme="minorHAnsi"/>
        </w:rPr>
      </w:pPr>
      <w:r w:rsidRPr="00CF264B">
        <w:rPr>
          <w:rFonts w:cstheme="minorHAnsi"/>
        </w:rPr>
        <w:t>The</w:t>
      </w:r>
      <w:r w:rsidR="00733B64" w:rsidRPr="00CF264B">
        <w:rPr>
          <w:rFonts w:cstheme="minorHAnsi"/>
        </w:rPr>
        <w:t xml:space="preserve"> proposed powers</w:t>
      </w:r>
      <w:r w:rsidRPr="00CF264B">
        <w:rPr>
          <w:rFonts w:cstheme="minorHAnsi"/>
        </w:rPr>
        <w:t xml:space="preserve"> can be divided into distinct elements</w:t>
      </w:r>
      <w:r w:rsidR="00733B64" w:rsidRPr="00CF264B">
        <w:rPr>
          <w:rFonts w:cstheme="minorHAnsi"/>
        </w:rPr>
        <w:t xml:space="preserve">, aspects of which are already proposed in some form for the AGB. These elements include </w:t>
      </w:r>
      <w:r w:rsidR="00084523" w:rsidRPr="00CF264B">
        <w:rPr>
          <w:rFonts w:cstheme="minorHAnsi"/>
        </w:rPr>
        <w:t xml:space="preserve">powers of investigation, </w:t>
      </w:r>
      <w:r w:rsidR="002A08B9" w:rsidRPr="00CF264B">
        <w:rPr>
          <w:rFonts w:cstheme="minorHAnsi"/>
        </w:rPr>
        <w:t xml:space="preserve">notification, </w:t>
      </w:r>
      <w:r w:rsidR="00733B64" w:rsidRPr="00CF264B">
        <w:rPr>
          <w:rFonts w:cstheme="minorHAnsi"/>
        </w:rPr>
        <w:t>standard setting, complaint</w:t>
      </w:r>
      <w:r w:rsidR="00084523" w:rsidRPr="00CF264B">
        <w:rPr>
          <w:rFonts w:cstheme="minorHAnsi"/>
        </w:rPr>
        <w:t xml:space="preserve"> </w:t>
      </w:r>
      <w:r w:rsidR="00733B64" w:rsidRPr="00CF264B">
        <w:rPr>
          <w:rFonts w:cstheme="minorHAnsi"/>
        </w:rPr>
        <w:t xml:space="preserve">mechanism, dispute resolution, monitoring, </w:t>
      </w:r>
      <w:r w:rsidR="00895DD7" w:rsidRPr="00CF264B">
        <w:rPr>
          <w:rFonts w:cstheme="minorHAnsi"/>
        </w:rPr>
        <w:t>system learning</w:t>
      </w:r>
      <w:r w:rsidR="00895DD7">
        <w:rPr>
          <w:rFonts w:cstheme="minorHAnsi"/>
        </w:rPr>
        <w:t xml:space="preserve">, and </w:t>
      </w:r>
      <w:r w:rsidR="00AA115A" w:rsidRPr="00CF264B">
        <w:rPr>
          <w:rFonts w:cstheme="minorHAnsi"/>
        </w:rPr>
        <w:t>enforcement</w:t>
      </w:r>
      <w:r w:rsidR="00733B64" w:rsidRPr="00CF264B">
        <w:rPr>
          <w:rFonts w:cstheme="minorHAnsi"/>
        </w:rPr>
        <w:t xml:space="preserve">. </w:t>
      </w:r>
    </w:p>
    <w:p w14:paraId="1EF17211" w14:textId="739D379F" w:rsidR="00C54B4A" w:rsidRDefault="00C54B4A" w:rsidP="00C54B4A">
      <w:pPr>
        <w:jc w:val="both"/>
        <w:rPr>
          <w:rFonts w:cstheme="minorHAnsi"/>
        </w:rPr>
      </w:pPr>
      <w:r w:rsidRPr="00CF264B">
        <w:rPr>
          <w:rFonts w:cstheme="minorHAnsi"/>
        </w:rPr>
        <w:t xml:space="preserve">With increased powers, it is likely that the AGB would </w:t>
      </w:r>
      <w:r w:rsidR="00CE39A3">
        <w:rPr>
          <w:rFonts w:cstheme="minorHAnsi"/>
        </w:rPr>
        <w:t>require a different structure, rather than simply</w:t>
      </w:r>
      <w:r w:rsidRPr="00CF264B">
        <w:rPr>
          <w:rFonts w:cstheme="minorHAnsi"/>
        </w:rPr>
        <w:t xml:space="preserve"> an advisory board. The Government initially rejected th</w:t>
      </w:r>
      <w:r w:rsidR="00CE39A3">
        <w:rPr>
          <w:rFonts w:cstheme="minorHAnsi"/>
        </w:rPr>
        <w:t>e</w:t>
      </w:r>
      <w:r w:rsidRPr="00CF264B">
        <w:rPr>
          <w:rFonts w:cstheme="minorHAnsi"/>
        </w:rPr>
        <w:t xml:space="preserve"> option</w:t>
      </w:r>
      <w:r w:rsidR="00CE39A3">
        <w:rPr>
          <w:rFonts w:cstheme="minorHAnsi"/>
        </w:rPr>
        <w:t xml:space="preserve"> of an independent Crown </w:t>
      </w:r>
      <w:r w:rsidR="00DB7DDE">
        <w:rPr>
          <w:rFonts w:cstheme="minorHAnsi"/>
        </w:rPr>
        <w:t>E</w:t>
      </w:r>
      <w:r w:rsidR="00CE39A3">
        <w:rPr>
          <w:rFonts w:cstheme="minorHAnsi"/>
        </w:rPr>
        <w:t>ntity. The structure issue</w:t>
      </w:r>
      <w:r w:rsidRPr="00CF264B">
        <w:rPr>
          <w:rFonts w:cstheme="minorHAnsi"/>
        </w:rPr>
        <w:t xml:space="preserve"> would require re-examination to address </w:t>
      </w:r>
      <w:r w:rsidR="00FB0DA8">
        <w:rPr>
          <w:rFonts w:cstheme="minorHAnsi"/>
        </w:rPr>
        <w:t>the Government’s</w:t>
      </w:r>
      <w:r w:rsidRPr="00CF264B">
        <w:rPr>
          <w:rFonts w:cstheme="minorHAnsi"/>
        </w:rPr>
        <w:t xml:space="preserve"> </w:t>
      </w:r>
      <w:r w:rsidR="00FB0DA8">
        <w:rPr>
          <w:rFonts w:cstheme="minorHAnsi"/>
        </w:rPr>
        <w:t>concerns about the operation of the leadership system</w:t>
      </w:r>
      <w:r w:rsidRPr="00CF264B">
        <w:rPr>
          <w:rFonts w:cstheme="minorHAnsi"/>
        </w:rPr>
        <w:t>. The Government has the time to consider this prior to the drafting of the legislation, and up to and including the Select Committee process.</w:t>
      </w:r>
    </w:p>
    <w:p w14:paraId="716BCFA3" w14:textId="77777777" w:rsidR="009C38CF" w:rsidRPr="00CF264B" w:rsidRDefault="009C38CF" w:rsidP="00C54B4A">
      <w:pPr>
        <w:jc w:val="both"/>
        <w:rPr>
          <w:rFonts w:cstheme="minorHAnsi"/>
        </w:rPr>
      </w:pPr>
    </w:p>
    <w:p w14:paraId="64D7ADE4" w14:textId="317E2213" w:rsidR="00084523" w:rsidRPr="00CF264B" w:rsidRDefault="00792CCD" w:rsidP="00C754E3">
      <w:pPr>
        <w:pStyle w:val="Heading2"/>
        <w:rPr>
          <w:b w:val="0"/>
        </w:rPr>
      </w:pPr>
      <w:r w:rsidRPr="00CF264B">
        <w:t xml:space="preserve">6.1 </w:t>
      </w:r>
      <w:r w:rsidR="00084523" w:rsidRPr="00CF264B">
        <w:t>Powers of Investigation</w:t>
      </w:r>
    </w:p>
    <w:p w14:paraId="11225902" w14:textId="77777777" w:rsidR="00A06813" w:rsidRPr="00CF264B" w:rsidRDefault="003944A9" w:rsidP="001F748E">
      <w:pPr>
        <w:jc w:val="both"/>
        <w:rPr>
          <w:rFonts w:cstheme="minorHAnsi"/>
        </w:rPr>
      </w:pPr>
      <w:r w:rsidRPr="00CF264B">
        <w:rPr>
          <w:rFonts w:cstheme="minorHAnsi"/>
        </w:rPr>
        <w:t>The Government considers that</w:t>
      </w:r>
      <w:r w:rsidR="008C07AC" w:rsidRPr="00CF264B">
        <w:rPr>
          <w:rFonts w:cstheme="minorHAnsi"/>
        </w:rPr>
        <w:t xml:space="preserve"> within the framework, </w:t>
      </w:r>
      <w:r w:rsidRPr="00CF264B">
        <w:rPr>
          <w:rFonts w:cstheme="minorHAnsi"/>
        </w:rPr>
        <w:t xml:space="preserve">part of the role of the AGB is to assist with the identification of systemic barriers. </w:t>
      </w:r>
      <w:r w:rsidR="0007671C" w:rsidRPr="00CF264B">
        <w:rPr>
          <w:rFonts w:cstheme="minorHAnsi"/>
        </w:rPr>
        <w:t>At this stage</w:t>
      </w:r>
      <w:r w:rsidRPr="00CF264B">
        <w:rPr>
          <w:rFonts w:cstheme="minorHAnsi"/>
        </w:rPr>
        <w:t xml:space="preserve"> </w:t>
      </w:r>
      <w:r w:rsidR="0007671C" w:rsidRPr="00CF264B">
        <w:rPr>
          <w:rFonts w:cstheme="minorHAnsi"/>
        </w:rPr>
        <w:t xml:space="preserve">the </w:t>
      </w:r>
      <w:r w:rsidRPr="00CF264B">
        <w:rPr>
          <w:rFonts w:cstheme="minorHAnsi"/>
        </w:rPr>
        <w:t xml:space="preserve">extent of the </w:t>
      </w:r>
      <w:r w:rsidR="0007671C" w:rsidRPr="00CF264B">
        <w:rPr>
          <w:rFonts w:cstheme="minorHAnsi"/>
        </w:rPr>
        <w:t>AGB’s power to identify and investigate barriers</w:t>
      </w:r>
      <w:r w:rsidRPr="00CF264B">
        <w:rPr>
          <w:rFonts w:cstheme="minorHAnsi"/>
        </w:rPr>
        <w:t xml:space="preserve"> is unclear</w:t>
      </w:r>
      <w:r w:rsidR="0007671C" w:rsidRPr="00CF264B">
        <w:rPr>
          <w:rFonts w:cstheme="minorHAnsi"/>
        </w:rPr>
        <w:t>. It seems</w:t>
      </w:r>
      <w:r w:rsidRPr="00CF264B">
        <w:rPr>
          <w:rFonts w:cstheme="minorHAnsi"/>
        </w:rPr>
        <w:t xml:space="preserve">, </w:t>
      </w:r>
      <w:r w:rsidR="0007671C" w:rsidRPr="00CF264B">
        <w:rPr>
          <w:rFonts w:cstheme="minorHAnsi"/>
        </w:rPr>
        <w:t xml:space="preserve">however, that in order to undertake this effectively, a proactive power of investigation is required. </w:t>
      </w:r>
    </w:p>
    <w:p w14:paraId="4023DC4C" w14:textId="4B2AAFE0" w:rsidR="00084523" w:rsidRPr="00CF264B" w:rsidRDefault="00084523" w:rsidP="001F748E">
      <w:pPr>
        <w:jc w:val="both"/>
        <w:rPr>
          <w:rFonts w:cstheme="minorHAnsi"/>
        </w:rPr>
      </w:pPr>
      <w:r w:rsidRPr="00CF264B">
        <w:rPr>
          <w:rFonts w:cstheme="minorHAnsi"/>
        </w:rPr>
        <w:t xml:space="preserve">The ability to investigate is central to many agencies in existing law. The AGB </w:t>
      </w:r>
      <w:r w:rsidR="00310A34">
        <w:rPr>
          <w:rFonts w:cstheme="minorHAnsi"/>
        </w:rPr>
        <w:t>could</w:t>
      </w:r>
      <w:r w:rsidRPr="00CF264B">
        <w:rPr>
          <w:rFonts w:cstheme="minorHAnsi"/>
        </w:rPr>
        <w:t xml:space="preserve"> be given the ability to undertake its own investigations into systems and domains. These investigations could be conducted on its own initiative, similar to the power held by the Health and Disability </w:t>
      </w:r>
      <w:r w:rsidR="00ED2FDD" w:rsidRPr="00CF264B">
        <w:rPr>
          <w:rFonts w:cstheme="minorHAnsi"/>
        </w:rPr>
        <w:t>C</w:t>
      </w:r>
      <w:r w:rsidRPr="00CF264B">
        <w:rPr>
          <w:rFonts w:cstheme="minorHAnsi"/>
        </w:rPr>
        <w:t>ommissioner</w:t>
      </w:r>
      <w:r w:rsidR="0007671C" w:rsidRPr="00CF264B">
        <w:rPr>
          <w:rFonts w:cstheme="minorHAnsi"/>
        </w:rPr>
        <w:t xml:space="preserve"> and the Privacy Commissioner.</w:t>
      </w:r>
      <w:r w:rsidR="008D3A9E" w:rsidRPr="00CF264B">
        <w:rPr>
          <w:rStyle w:val="FootnoteReference"/>
          <w:rFonts w:cstheme="minorHAnsi"/>
        </w:rPr>
        <w:footnoteReference w:id="37"/>
      </w:r>
      <w:r w:rsidR="008D3A9E" w:rsidRPr="00CF264B">
        <w:rPr>
          <w:rFonts w:cstheme="minorHAnsi"/>
        </w:rPr>
        <w:t xml:space="preserve"> </w:t>
      </w:r>
      <w:r w:rsidR="008C07AC" w:rsidRPr="00CF264B">
        <w:rPr>
          <w:rFonts w:cstheme="minorHAnsi"/>
        </w:rPr>
        <w:t>Investigations could also be commenced as a result of notification</w:t>
      </w:r>
      <w:r w:rsidR="00A14756" w:rsidRPr="00CF264B">
        <w:rPr>
          <w:rFonts w:cstheme="minorHAnsi"/>
        </w:rPr>
        <w:t>s</w:t>
      </w:r>
      <w:r w:rsidR="008C07AC" w:rsidRPr="00CF264B">
        <w:rPr>
          <w:rFonts w:cstheme="minorHAnsi"/>
        </w:rPr>
        <w:t xml:space="preserve"> (see below). </w:t>
      </w:r>
    </w:p>
    <w:p w14:paraId="340A436C" w14:textId="06BDDB59" w:rsidR="00F15354" w:rsidRDefault="00F15354" w:rsidP="001F748E">
      <w:pPr>
        <w:jc w:val="both"/>
        <w:rPr>
          <w:rFonts w:cstheme="minorHAnsi"/>
        </w:rPr>
      </w:pPr>
      <w:r w:rsidRPr="00CF264B">
        <w:rPr>
          <w:rFonts w:cstheme="minorHAnsi"/>
        </w:rPr>
        <w:t xml:space="preserve">The AGB </w:t>
      </w:r>
      <w:r w:rsidR="00310A34">
        <w:rPr>
          <w:rFonts w:cstheme="minorHAnsi"/>
        </w:rPr>
        <w:t xml:space="preserve">would </w:t>
      </w:r>
      <w:r w:rsidRPr="00CF264B">
        <w:rPr>
          <w:rFonts w:cstheme="minorHAnsi"/>
        </w:rPr>
        <w:t xml:space="preserve">need to be appropriately resourced and authorised to undertake investigations. </w:t>
      </w:r>
      <w:r w:rsidR="008D3A9E" w:rsidRPr="00CF264B">
        <w:rPr>
          <w:rFonts w:cstheme="minorHAnsi"/>
        </w:rPr>
        <w:t>Although unlikely to be required in most circumstances, t</w:t>
      </w:r>
      <w:r w:rsidR="000055D7" w:rsidRPr="00CF264B">
        <w:rPr>
          <w:rFonts w:cstheme="minorHAnsi"/>
        </w:rPr>
        <w:t xml:space="preserve">his may </w:t>
      </w:r>
      <w:r w:rsidR="000055D7" w:rsidRPr="00CF264B">
        <w:rPr>
          <w:rFonts w:cstheme="minorHAnsi"/>
        </w:rPr>
        <w:lastRenderedPageBreak/>
        <w:t>require specific powers to request information</w:t>
      </w:r>
      <w:r w:rsidR="00FB0DA8">
        <w:rPr>
          <w:rFonts w:cstheme="minorHAnsi"/>
        </w:rPr>
        <w:t>. Again, this is</w:t>
      </w:r>
      <w:r w:rsidR="00A14756" w:rsidRPr="00CF264B">
        <w:rPr>
          <w:rFonts w:cstheme="minorHAnsi"/>
        </w:rPr>
        <w:t xml:space="preserve"> similar to powers held by the </w:t>
      </w:r>
      <w:r w:rsidR="00FB0DA8">
        <w:rPr>
          <w:rFonts w:cstheme="minorHAnsi"/>
        </w:rPr>
        <w:t>existing</w:t>
      </w:r>
      <w:r w:rsidR="00A14756" w:rsidRPr="00CF264B">
        <w:rPr>
          <w:rFonts w:cstheme="minorHAnsi"/>
        </w:rPr>
        <w:t xml:space="preserve"> Commissioners.</w:t>
      </w:r>
      <w:r w:rsidR="00A14756" w:rsidRPr="00CF264B">
        <w:rPr>
          <w:rStyle w:val="FootnoteReference"/>
          <w:rFonts w:cstheme="minorHAnsi"/>
        </w:rPr>
        <w:footnoteReference w:id="38"/>
      </w:r>
      <w:r w:rsidR="000055D7" w:rsidRPr="00CF264B">
        <w:rPr>
          <w:rFonts w:cstheme="minorHAnsi"/>
        </w:rPr>
        <w:t xml:space="preserve"> </w:t>
      </w:r>
      <w:r w:rsidR="00BA2285" w:rsidRPr="00CF264B">
        <w:rPr>
          <w:rFonts w:cstheme="minorHAnsi"/>
        </w:rPr>
        <w:t xml:space="preserve">Information sharing </w:t>
      </w:r>
      <w:r w:rsidR="00FB0DA8">
        <w:rPr>
          <w:rFonts w:cstheme="minorHAnsi"/>
        </w:rPr>
        <w:t>abilities</w:t>
      </w:r>
      <w:r w:rsidR="00BA2285" w:rsidRPr="00CF264B">
        <w:rPr>
          <w:rFonts w:cstheme="minorHAnsi"/>
        </w:rPr>
        <w:t xml:space="preserve"> across the state sector may also be required.</w:t>
      </w:r>
    </w:p>
    <w:p w14:paraId="3C9487CD" w14:textId="77777777" w:rsidR="009C38CF" w:rsidRPr="00CF264B" w:rsidRDefault="009C38CF" w:rsidP="001F748E">
      <w:pPr>
        <w:jc w:val="both"/>
        <w:rPr>
          <w:rFonts w:cstheme="minorHAnsi"/>
        </w:rPr>
      </w:pPr>
    </w:p>
    <w:p w14:paraId="75D25319" w14:textId="78B42A91" w:rsidR="00BB5875" w:rsidRPr="00CF264B" w:rsidRDefault="00792CCD" w:rsidP="00C754E3">
      <w:pPr>
        <w:pStyle w:val="Heading2"/>
        <w:rPr>
          <w:b w:val="0"/>
        </w:rPr>
      </w:pPr>
      <w:r w:rsidRPr="00CF264B">
        <w:t xml:space="preserve">6. 2 </w:t>
      </w:r>
      <w:r w:rsidR="00BB5875" w:rsidRPr="00CF264B">
        <w:t>Notification</w:t>
      </w:r>
    </w:p>
    <w:p w14:paraId="3FBB6A97" w14:textId="3182A96B" w:rsidR="00A14756" w:rsidRPr="00CF264B" w:rsidRDefault="003944A9" w:rsidP="001F748E">
      <w:pPr>
        <w:jc w:val="both"/>
        <w:rPr>
          <w:rFonts w:cstheme="minorHAnsi"/>
        </w:rPr>
      </w:pPr>
      <w:r w:rsidRPr="00CF264B">
        <w:rPr>
          <w:rFonts w:cstheme="minorHAnsi"/>
        </w:rPr>
        <w:t xml:space="preserve">Investigations could also be undertaken as a result of individual complaints and notifications. Although </w:t>
      </w:r>
      <w:r w:rsidR="00BB5875" w:rsidRPr="00CF264B">
        <w:rPr>
          <w:rFonts w:cstheme="minorHAnsi"/>
        </w:rPr>
        <w:t>the Government envisages the removal of system</w:t>
      </w:r>
      <w:r w:rsidR="00FB0DA8">
        <w:rPr>
          <w:rFonts w:cstheme="minorHAnsi"/>
        </w:rPr>
        <w:t>ic</w:t>
      </w:r>
      <w:r w:rsidR="00BB5875" w:rsidRPr="00CF264B">
        <w:rPr>
          <w:rFonts w:cstheme="minorHAnsi"/>
        </w:rPr>
        <w:t xml:space="preserve"> barriers, it is nonetheless important that individuals </w:t>
      </w:r>
      <w:r w:rsidR="00993BEF">
        <w:rPr>
          <w:rFonts w:cstheme="minorHAnsi"/>
        </w:rPr>
        <w:t>can</w:t>
      </w:r>
      <w:r w:rsidR="00544E68" w:rsidRPr="00CF264B">
        <w:rPr>
          <w:rFonts w:cstheme="minorHAnsi"/>
        </w:rPr>
        <w:t xml:space="preserve"> alert the AGB to barriers through a formal notification process. There would need to be a </w:t>
      </w:r>
      <w:r w:rsidR="00DD5932" w:rsidRPr="00CF264B">
        <w:rPr>
          <w:rFonts w:cstheme="minorHAnsi"/>
        </w:rPr>
        <w:t>robust analysis</w:t>
      </w:r>
      <w:r w:rsidR="00A14756" w:rsidRPr="00CF264B">
        <w:rPr>
          <w:rFonts w:cstheme="minorHAnsi"/>
        </w:rPr>
        <w:t xml:space="preserve"> method</w:t>
      </w:r>
      <w:r w:rsidR="00DD5932" w:rsidRPr="00CF264B">
        <w:rPr>
          <w:rFonts w:cstheme="minorHAnsi"/>
        </w:rPr>
        <w:t xml:space="preserve"> to allow for identification of systemic issues</w:t>
      </w:r>
      <w:r w:rsidR="00FB0DA8">
        <w:rPr>
          <w:rFonts w:cstheme="minorHAnsi"/>
        </w:rPr>
        <w:t xml:space="preserve"> from individual notifications. </w:t>
      </w:r>
    </w:p>
    <w:p w14:paraId="3EB6D59C" w14:textId="260A0C5F" w:rsidR="003944A9" w:rsidRDefault="00DD5932" w:rsidP="001F748E">
      <w:pPr>
        <w:jc w:val="both"/>
        <w:rPr>
          <w:rFonts w:cstheme="minorHAnsi"/>
        </w:rPr>
      </w:pPr>
      <w:r w:rsidRPr="00CF264B">
        <w:rPr>
          <w:rFonts w:cstheme="minorHAnsi"/>
        </w:rPr>
        <w:t xml:space="preserve">Notifications </w:t>
      </w:r>
      <w:r w:rsidR="00993BEF">
        <w:rPr>
          <w:rFonts w:cstheme="minorHAnsi"/>
        </w:rPr>
        <w:t>could</w:t>
      </w:r>
      <w:r w:rsidR="00A14756" w:rsidRPr="00CF264B">
        <w:rPr>
          <w:rFonts w:cstheme="minorHAnsi"/>
        </w:rPr>
        <w:t xml:space="preserve"> be </w:t>
      </w:r>
      <w:r w:rsidR="008D3A9E" w:rsidRPr="00CF264B">
        <w:rPr>
          <w:rFonts w:cstheme="minorHAnsi"/>
        </w:rPr>
        <w:t>accepted</w:t>
      </w:r>
      <w:r w:rsidRPr="00CF264B">
        <w:rPr>
          <w:rFonts w:cstheme="minorHAnsi"/>
        </w:rPr>
        <w:t xml:space="preserve"> </w:t>
      </w:r>
      <w:r w:rsidR="00A14756" w:rsidRPr="00CF264B">
        <w:rPr>
          <w:rFonts w:cstheme="minorHAnsi"/>
        </w:rPr>
        <w:t>throughout the framework process, f</w:t>
      </w:r>
      <w:r w:rsidR="002A08B9" w:rsidRPr="00CF264B">
        <w:rPr>
          <w:rFonts w:cstheme="minorHAnsi"/>
        </w:rPr>
        <w:t xml:space="preserve">rom initial identification of barriers through to </w:t>
      </w:r>
      <w:r w:rsidR="008D3A9E" w:rsidRPr="00CF264B">
        <w:rPr>
          <w:rFonts w:cstheme="minorHAnsi"/>
        </w:rPr>
        <w:t xml:space="preserve">the final </w:t>
      </w:r>
      <w:r w:rsidR="00A14756" w:rsidRPr="00CF264B">
        <w:rPr>
          <w:rFonts w:cstheme="minorHAnsi"/>
        </w:rPr>
        <w:t>monitoring of outcomes.</w:t>
      </w:r>
    </w:p>
    <w:p w14:paraId="6A894D55" w14:textId="77777777" w:rsidR="009C38CF" w:rsidRPr="00CF264B" w:rsidRDefault="009C38CF" w:rsidP="001F748E">
      <w:pPr>
        <w:jc w:val="both"/>
        <w:rPr>
          <w:rFonts w:cstheme="minorHAnsi"/>
        </w:rPr>
      </w:pPr>
    </w:p>
    <w:p w14:paraId="49A6040E" w14:textId="04EE018A" w:rsidR="00084523" w:rsidRPr="00CF264B" w:rsidRDefault="00792CCD" w:rsidP="00A47FB0">
      <w:pPr>
        <w:pStyle w:val="Heading2"/>
      </w:pPr>
      <w:r w:rsidRPr="00CF264B">
        <w:t xml:space="preserve">6.3 </w:t>
      </w:r>
      <w:r w:rsidR="00084523" w:rsidRPr="00CF264B">
        <w:t>Standard setting</w:t>
      </w:r>
    </w:p>
    <w:p w14:paraId="07864CB1" w14:textId="7A0E38AE" w:rsidR="00AA115A" w:rsidRPr="00CF264B" w:rsidRDefault="00084523" w:rsidP="001F748E">
      <w:pPr>
        <w:jc w:val="both"/>
        <w:rPr>
          <w:rFonts w:cstheme="minorHAnsi"/>
        </w:rPr>
      </w:pPr>
      <w:r w:rsidRPr="00CF264B">
        <w:rPr>
          <w:rFonts w:cstheme="minorHAnsi"/>
        </w:rPr>
        <w:t xml:space="preserve">The power to </w:t>
      </w:r>
      <w:r w:rsidR="00D62001" w:rsidRPr="00CF264B">
        <w:rPr>
          <w:rFonts w:cstheme="minorHAnsi"/>
        </w:rPr>
        <w:t>develop</w:t>
      </w:r>
      <w:r w:rsidRPr="00CF264B">
        <w:rPr>
          <w:rFonts w:cstheme="minorHAnsi"/>
        </w:rPr>
        <w:t xml:space="preserve"> standards </w:t>
      </w:r>
      <w:r w:rsidR="00A06813" w:rsidRPr="00CF264B">
        <w:rPr>
          <w:rFonts w:cstheme="minorHAnsi"/>
        </w:rPr>
        <w:t xml:space="preserve">is a </w:t>
      </w:r>
      <w:r w:rsidR="0033739B" w:rsidRPr="00CF264B">
        <w:rPr>
          <w:rFonts w:cstheme="minorHAnsi"/>
        </w:rPr>
        <w:t>key</w:t>
      </w:r>
      <w:r w:rsidR="00D62001" w:rsidRPr="00CF264B">
        <w:rPr>
          <w:rFonts w:cstheme="minorHAnsi"/>
        </w:rPr>
        <w:t xml:space="preserve"> omission from the proposed framework, consistent with the Government’s </w:t>
      </w:r>
      <w:r w:rsidR="0033739B">
        <w:rPr>
          <w:rFonts w:cstheme="minorHAnsi"/>
        </w:rPr>
        <w:t xml:space="preserve">non-prescriptive </w:t>
      </w:r>
      <w:r w:rsidR="00D62001" w:rsidRPr="00CF264B">
        <w:rPr>
          <w:rFonts w:cstheme="minorHAnsi"/>
        </w:rPr>
        <w:t>approach. The proposed framework in the consultation process has no reference to the power to develop standards.</w:t>
      </w:r>
      <w:r w:rsidR="00BA2285" w:rsidRPr="00CF264B">
        <w:rPr>
          <w:rStyle w:val="FootnoteReference"/>
          <w:rFonts w:cstheme="minorHAnsi"/>
        </w:rPr>
        <w:footnoteReference w:id="39"/>
      </w:r>
      <w:r w:rsidR="00576C08" w:rsidRPr="00CF264B">
        <w:rPr>
          <w:rFonts w:cstheme="minorHAnsi"/>
        </w:rPr>
        <w:t xml:space="preserve"> There is reference to the framework </w:t>
      </w:r>
      <w:r w:rsidR="0033739B">
        <w:rPr>
          <w:rFonts w:cstheme="minorHAnsi"/>
        </w:rPr>
        <w:t>being able to recommend that</w:t>
      </w:r>
      <w:r w:rsidR="00576C08" w:rsidRPr="00CF264B">
        <w:rPr>
          <w:rFonts w:cstheme="minorHAnsi"/>
        </w:rPr>
        <w:t>, “</w:t>
      </w:r>
      <w:r w:rsidR="00FB0DA8">
        <w:rPr>
          <w:rFonts w:cstheme="minorHAnsi"/>
        </w:rPr>
        <w:t>n</w:t>
      </w:r>
      <w:r w:rsidR="00576C08" w:rsidRPr="00CF264B">
        <w:rPr>
          <w:rFonts w:cstheme="minorHAnsi"/>
        </w:rPr>
        <w:t>ew regulatory systems are developed where necessary.”</w:t>
      </w:r>
      <w:r w:rsidR="00576C08" w:rsidRPr="00CF264B">
        <w:rPr>
          <w:rStyle w:val="FootnoteReference"/>
          <w:rFonts w:cstheme="minorHAnsi"/>
        </w:rPr>
        <w:footnoteReference w:id="40"/>
      </w:r>
      <w:r w:rsidR="00576C08" w:rsidRPr="00CF264B">
        <w:rPr>
          <w:rFonts w:cstheme="minorHAnsi"/>
        </w:rPr>
        <w:t xml:space="preserve"> This has not translated into a power to set standards</w:t>
      </w:r>
      <w:r w:rsidR="00BA4CF6">
        <w:rPr>
          <w:rFonts w:cstheme="minorHAnsi"/>
        </w:rPr>
        <w:t xml:space="preserve"> through secondary legislation</w:t>
      </w:r>
      <w:r w:rsidR="00576C08" w:rsidRPr="00CF264B">
        <w:rPr>
          <w:rFonts w:cstheme="minorHAnsi"/>
        </w:rPr>
        <w:t xml:space="preserve">, or indeed a general regulatory function for the AGB. </w:t>
      </w:r>
    </w:p>
    <w:p w14:paraId="1EDF7074" w14:textId="7F4CA3DC" w:rsidR="004708E3" w:rsidRPr="00CF264B" w:rsidRDefault="00576C08" w:rsidP="001F748E">
      <w:pPr>
        <w:jc w:val="both"/>
        <w:rPr>
          <w:rFonts w:cstheme="minorHAnsi"/>
        </w:rPr>
      </w:pPr>
      <w:r w:rsidRPr="00CF264B">
        <w:rPr>
          <w:rFonts w:cstheme="minorHAnsi"/>
        </w:rPr>
        <w:t>A</w:t>
      </w:r>
      <w:r w:rsidR="00BA2285" w:rsidRPr="00CF264B">
        <w:rPr>
          <w:rFonts w:cstheme="minorHAnsi"/>
        </w:rPr>
        <w:t xml:space="preserve"> </w:t>
      </w:r>
      <w:r w:rsidR="004F2B67" w:rsidRPr="00CF264B">
        <w:rPr>
          <w:rFonts w:cstheme="minorHAnsi"/>
        </w:rPr>
        <w:t xml:space="preserve">clear power </w:t>
      </w:r>
      <w:r w:rsidR="00BA4CF6">
        <w:rPr>
          <w:rFonts w:cstheme="minorHAnsi"/>
        </w:rPr>
        <w:t xml:space="preserve">for </w:t>
      </w:r>
      <w:r w:rsidR="004F2B67" w:rsidRPr="00CF264B">
        <w:rPr>
          <w:rFonts w:cstheme="minorHAnsi"/>
        </w:rPr>
        <w:t xml:space="preserve">the AGB to </w:t>
      </w:r>
      <w:r w:rsidR="00BA2285" w:rsidRPr="00CF264B">
        <w:rPr>
          <w:rFonts w:cstheme="minorHAnsi"/>
        </w:rPr>
        <w:t xml:space="preserve">develop standards could be incorporated in a way that would address the Government’s concerns about prescription. </w:t>
      </w:r>
      <w:r w:rsidR="00BA4CF6">
        <w:rPr>
          <w:rFonts w:cstheme="minorHAnsi"/>
        </w:rPr>
        <w:t>Standards</w:t>
      </w:r>
      <w:r w:rsidR="004708E3" w:rsidRPr="00CF264B">
        <w:rPr>
          <w:rFonts w:cstheme="minorHAnsi"/>
        </w:rPr>
        <w:t xml:space="preserve"> would not have to be the default </w:t>
      </w:r>
      <w:r w:rsidR="007F796B" w:rsidRPr="00CF264B">
        <w:rPr>
          <w:rFonts w:cstheme="minorHAnsi"/>
        </w:rPr>
        <w:t>option within a domain but</w:t>
      </w:r>
      <w:r w:rsidR="004708E3" w:rsidRPr="00CF264B">
        <w:rPr>
          <w:rFonts w:cstheme="minorHAnsi"/>
        </w:rPr>
        <w:t xml:space="preserve"> could be </w:t>
      </w:r>
      <w:r w:rsidR="00A73148" w:rsidRPr="00CF264B">
        <w:rPr>
          <w:rFonts w:cstheme="minorHAnsi"/>
        </w:rPr>
        <w:t xml:space="preserve">simply </w:t>
      </w:r>
      <w:r w:rsidR="004708E3" w:rsidRPr="00CF264B">
        <w:rPr>
          <w:rFonts w:cstheme="minorHAnsi"/>
        </w:rPr>
        <w:t xml:space="preserve">one of the available tools. </w:t>
      </w:r>
      <w:r w:rsidR="004B1C9F" w:rsidRPr="00CF264B">
        <w:rPr>
          <w:rFonts w:cstheme="minorHAnsi"/>
        </w:rPr>
        <w:t xml:space="preserve">Standards would not be an appropriate option for every domain, </w:t>
      </w:r>
      <w:r w:rsidR="00BA4CF6">
        <w:rPr>
          <w:rFonts w:cstheme="minorHAnsi"/>
        </w:rPr>
        <w:t>addressing</w:t>
      </w:r>
      <w:r w:rsidR="004B1C9F" w:rsidRPr="00CF264B">
        <w:rPr>
          <w:rFonts w:cstheme="minorHAnsi"/>
        </w:rPr>
        <w:t xml:space="preserve"> the Government’s concerns about inflexibility and duplication.  </w:t>
      </w:r>
    </w:p>
    <w:p w14:paraId="7419ADCF" w14:textId="0CC7F551" w:rsidR="00A73148" w:rsidRPr="00CF264B" w:rsidRDefault="00875DE8" w:rsidP="001F748E">
      <w:pPr>
        <w:jc w:val="both"/>
        <w:rPr>
          <w:rFonts w:cstheme="minorHAnsi"/>
        </w:rPr>
      </w:pPr>
      <w:r>
        <w:rPr>
          <w:rFonts w:cstheme="minorHAnsi"/>
        </w:rPr>
        <w:t>T</w:t>
      </w:r>
      <w:r w:rsidR="004708E3" w:rsidRPr="00CF264B">
        <w:rPr>
          <w:rFonts w:cstheme="minorHAnsi"/>
        </w:rPr>
        <w:t xml:space="preserve">he AGB could be given the power to </w:t>
      </w:r>
      <w:r w:rsidR="002444D3">
        <w:rPr>
          <w:rFonts w:cstheme="minorHAnsi"/>
        </w:rPr>
        <w:t xml:space="preserve">carry out </w:t>
      </w:r>
      <w:r w:rsidRPr="00CF264B">
        <w:rPr>
          <w:rFonts w:cstheme="minorHAnsi"/>
        </w:rPr>
        <w:t>robust investigation and consultation process</w:t>
      </w:r>
      <w:r w:rsidR="002444D3">
        <w:rPr>
          <w:rFonts w:cstheme="minorHAnsi"/>
        </w:rPr>
        <w:t>es that lead to development of standards</w:t>
      </w:r>
      <w:r w:rsidR="004708E3" w:rsidRPr="00CF264B">
        <w:rPr>
          <w:rFonts w:cstheme="minorHAnsi"/>
        </w:rPr>
        <w:t>, depending on the specific requirements of the domain in which the barrier exists. Standards could be one of a suite of measures to address barriers, and could be non-</w:t>
      </w:r>
      <w:r w:rsidR="00BA4CF6" w:rsidRPr="00CF264B">
        <w:rPr>
          <w:rFonts w:cstheme="minorHAnsi"/>
        </w:rPr>
        <w:t>enforceable</w:t>
      </w:r>
      <w:r w:rsidR="00BA4CF6">
        <w:rPr>
          <w:rFonts w:cstheme="minorHAnsi"/>
        </w:rPr>
        <w:t xml:space="preserve">, </w:t>
      </w:r>
      <w:r w:rsidR="00BA4CF6" w:rsidRPr="00CF264B">
        <w:rPr>
          <w:rFonts w:cstheme="minorHAnsi"/>
        </w:rPr>
        <w:t>enforceable</w:t>
      </w:r>
      <w:r w:rsidR="00BA4CF6">
        <w:rPr>
          <w:rFonts w:cstheme="minorHAnsi"/>
        </w:rPr>
        <w:t>,</w:t>
      </w:r>
      <w:r w:rsidR="00A73148" w:rsidRPr="00CF264B">
        <w:rPr>
          <w:rFonts w:cstheme="minorHAnsi"/>
        </w:rPr>
        <w:t xml:space="preserve"> or mixed</w:t>
      </w:r>
      <w:r w:rsidR="004708E3" w:rsidRPr="00CF264B">
        <w:rPr>
          <w:rFonts w:cstheme="minorHAnsi"/>
        </w:rPr>
        <w:t xml:space="preserve">. </w:t>
      </w:r>
    </w:p>
    <w:p w14:paraId="53EA261D" w14:textId="0EA16892" w:rsidR="00A73148" w:rsidRPr="00CF264B" w:rsidRDefault="00A73148" w:rsidP="001F748E">
      <w:pPr>
        <w:jc w:val="both"/>
        <w:rPr>
          <w:rFonts w:cstheme="minorHAnsi"/>
        </w:rPr>
      </w:pPr>
      <w:r w:rsidRPr="00CF264B">
        <w:rPr>
          <w:rFonts w:cstheme="minorHAnsi"/>
        </w:rPr>
        <w:lastRenderedPageBreak/>
        <w:t>The various considerations for level of enforceability were well canvassed in the ‘Making New Zealand Accessible’ report</w:t>
      </w:r>
      <w:r w:rsidR="009E541D" w:rsidRPr="00CF264B">
        <w:rPr>
          <w:rFonts w:cstheme="minorHAnsi"/>
        </w:rPr>
        <w:t>.</w:t>
      </w:r>
      <w:r w:rsidR="009E541D" w:rsidRPr="00CF264B">
        <w:rPr>
          <w:rStyle w:val="FootnoteReference"/>
          <w:rFonts w:cstheme="minorHAnsi"/>
        </w:rPr>
        <w:footnoteReference w:id="41"/>
      </w:r>
      <w:r w:rsidR="009E541D" w:rsidRPr="00CF264B">
        <w:rPr>
          <w:rFonts w:cstheme="minorHAnsi"/>
        </w:rPr>
        <w:t xml:space="preserve"> These </w:t>
      </w:r>
      <w:r w:rsidR="007419F0" w:rsidRPr="00CF264B">
        <w:rPr>
          <w:rFonts w:cstheme="minorHAnsi"/>
        </w:rPr>
        <w:t>issues</w:t>
      </w:r>
      <w:r w:rsidR="009E541D" w:rsidRPr="00CF264B">
        <w:rPr>
          <w:rFonts w:cstheme="minorHAnsi"/>
        </w:rPr>
        <w:t xml:space="preserve"> would be </w:t>
      </w:r>
      <w:r w:rsidR="007419F0" w:rsidRPr="00CF264B">
        <w:rPr>
          <w:rFonts w:cstheme="minorHAnsi"/>
        </w:rPr>
        <w:t>considered</w:t>
      </w:r>
      <w:r w:rsidR="009E541D" w:rsidRPr="00CF264B">
        <w:rPr>
          <w:rFonts w:cstheme="minorHAnsi"/>
        </w:rPr>
        <w:t xml:space="preserve"> </w:t>
      </w:r>
      <w:r w:rsidR="007419F0" w:rsidRPr="00CF264B">
        <w:rPr>
          <w:rFonts w:cstheme="minorHAnsi"/>
        </w:rPr>
        <w:t>as part of</w:t>
      </w:r>
      <w:r w:rsidR="009E541D" w:rsidRPr="00CF264B">
        <w:rPr>
          <w:rFonts w:cstheme="minorHAnsi"/>
        </w:rPr>
        <w:t xml:space="preserve"> the AGB’s </w:t>
      </w:r>
      <w:r w:rsidR="00BA4CF6">
        <w:rPr>
          <w:rFonts w:cstheme="minorHAnsi"/>
        </w:rPr>
        <w:t xml:space="preserve">research and </w:t>
      </w:r>
      <w:r w:rsidR="009E541D" w:rsidRPr="00CF264B">
        <w:rPr>
          <w:rFonts w:cstheme="minorHAnsi"/>
        </w:rPr>
        <w:t xml:space="preserve">development process. </w:t>
      </w:r>
    </w:p>
    <w:p w14:paraId="0B96E18A" w14:textId="6135582B" w:rsidR="00BA2285" w:rsidRPr="00CF264B" w:rsidRDefault="004708E3" w:rsidP="001F748E">
      <w:pPr>
        <w:jc w:val="both"/>
        <w:rPr>
          <w:rFonts w:cstheme="minorHAnsi"/>
        </w:rPr>
      </w:pPr>
      <w:r w:rsidRPr="00CF264B">
        <w:rPr>
          <w:rFonts w:cstheme="minorHAnsi"/>
        </w:rPr>
        <w:t xml:space="preserve">Non-enforceable standards could become enforceable over a period of time, </w:t>
      </w:r>
      <w:r w:rsidR="00BA4CF6">
        <w:rPr>
          <w:rFonts w:cstheme="minorHAnsi"/>
        </w:rPr>
        <w:t>allowing the</w:t>
      </w:r>
      <w:r w:rsidRPr="00CF264B">
        <w:rPr>
          <w:rFonts w:cstheme="minorHAnsi"/>
        </w:rPr>
        <w:t xml:space="preserve"> entities subject to the standards sufficient time to prepare.</w:t>
      </w:r>
      <w:r w:rsidR="007F796B" w:rsidRPr="00CF264B">
        <w:rPr>
          <w:rStyle w:val="FootnoteReference"/>
          <w:rFonts w:cstheme="minorHAnsi"/>
        </w:rPr>
        <w:footnoteReference w:id="42"/>
      </w:r>
    </w:p>
    <w:p w14:paraId="5916492F" w14:textId="56844D20" w:rsidR="004B1C9F" w:rsidRPr="00CF264B" w:rsidRDefault="00A73148" w:rsidP="001F748E">
      <w:pPr>
        <w:jc w:val="both"/>
        <w:rPr>
          <w:rFonts w:cstheme="minorHAnsi"/>
        </w:rPr>
      </w:pPr>
      <w:r w:rsidRPr="00CF264B">
        <w:rPr>
          <w:rFonts w:cstheme="minorHAnsi"/>
        </w:rPr>
        <w:t xml:space="preserve">Standards as an option may encourage entities to engage with the framework in a way that other options may not. The framework as currently envisaged requires only </w:t>
      </w:r>
      <w:r w:rsidR="006A4A1A">
        <w:rPr>
          <w:rFonts w:cstheme="minorHAnsi"/>
        </w:rPr>
        <w:t xml:space="preserve">that </w:t>
      </w:r>
      <w:r w:rsidRPr="00CF264B">
        <w:rPr>
          <w:rFonts w:cstheme="minorHAnsi"/>
        </w:rPr>
        <w:t xml:space="preserve">‘recommendations’ </w:t>
      </w:r>
      <w:r w:rsidR="00BA4CF6">
        <w:rPr>
          <w:rFonts w:cstheme="minorHAnsi"/>
        </w:rPr>
        <w:t>for</w:t>
      </w:r>
      <w:r w:rsidRPr="00CF264B">
        <w:rPr>
          <w:rFonts w:cstheme="minorHAnsi"/>
        </w:rPr>
        <w:t xml:space="preserve"> </w:t>
      </w:r>
      <w:r w:rsidR="00BA4CF6">
        <w:rPr>
          <w:rFonts w:cstheme="minorHAnsi"/>
        </w:rPr>
        <w:t>solutions be</w:t>
      </w:r>
      <w:r w:rsidRPr="00CF264B">
        <w:rPr>
          <w:rFonts w:cstheme="minorHAnsi"/>
        </w:rPr>
        <w:t xml:space="preserve"> made to decision</w:t>
      </w:r>
      <w:r w:rsidR="00BA4CF6">
        <w:rPr>
          <w:rFonts w:cstheme="minorHAnsi"/>
        </w:rPr>
        <w:t xml:space="preserve"> </w:t>
      </w:r>
      <w:r w:rsidRPr="00CF264B">
        <w:rPr>
          <w:rFonts w:cstheme="minorHAnsi"/>
        </w:rPr>
        <w:t>makers.</w:t>
      </w:r>
      <w:r w:rsidRPr="00CF264B">
        <w:rPr>
          <w:rStyle w:val="FootnoteReference"/>
          <w:rFonts w:cstheme="minorHAnsi"/>
        </w:rPr>
        <w:footnoteReference w:id="43"/>
      </w:r>
      <w:r w:rsidR="0059347C" w:rsidRPr="00CF264B">
        <w:rPr>
          <w:rFonts w:cstheme="minorHAnsi"/>
        </w:rPr>
        <w:t xml:space="preserve"> </w:t>
      </w:r>
      <w:r w:rsidR="006A4A1A">
        <w:rPr>
          <w:rFonts w:cstheme="minorHAnsi"/>
        </w:rPr>
        <w:t xml:space="preserve">The system seems to rely on the entities then doing the ‘right thing’ after being presented with a solution. </w:t>
      </w:r>
      <w:r w:rsidR="0059347C" w:rsidRPr="00CF264B">
        <w:rPr>
          <w:rFonts w:cstheme="minorHAnsi"/>
        </w:rPr>
        <w:t>Decision</w:t>
      </w:r>
      <w:r w:rsidR="00792CCD" w:rsidRPr="00CF264B">
        <w:rPr>
          <w:rFonts w:cstheme="minorHAnsi"/>
        </w:rPr>
        <w:t xml:space="preserve"> </w:t>
      </w:r>
      <w:r w:rsidR="0059347C" w:rsidRPr="00CF264B">
        <w:rPr>
          <w:rFonts w:cstheme="minorHAnsi"/>
        </w:rPr>
        <w:t>makers could ignore or reject recommendations</w:t>
      </w:r>
      <w:r w:rsidR="006A4A1A">
        <w:rPr>
          <w:rFonts w:cstheme="minorHAnsi"/>
        </w:rPr>
        <w:t xml:space="preserve"> </w:t>
      </w:r>
      <w:r w:rsidR="0059347C" w:rsidRPr="00CF264B">
        <w:rPr>
          <w:rFonts w:cstheme="minorHAnsi"/>
        </w:rPr>
        <w:t xml:space="preserve">without obvious consequences. With the ability to set standards </w:t>
      </w:r>
      <w:r w:rsidR="004B182B" w:rsidRPr="00CF264B">
        <w:rPr>
          <w:rFonts w:cstheme="minorHAnsi"/>
        </w:rPr>
        <w:t xml:space="preserve">and timelines for enforceability </w:t>
      </w:r>
      <w:r w:rsidR="0059347C" w:rsidRPr="00CF264B">
        <w:rPr>
          <w:rFonts w:cstheme="minorHAnsi"/>
        </w:rPr>
        <w:t xml:space="preserve">built into the framework, decision makers may take recommendations more seriously. </w:t>
      </w:r>
    </w:p>
    <w:p w14:paraId="55FE38B0" w14:textId="129B705F" w:rsidR="009F2061" w:rsidRPr="00CF264B" w:rsidRDefault="009F2061" w:rsidP="001F748E">
      <w:pPr>
        <w:jc w:val="both"/>
        <w:rPr>
          <w:rFonts w:cstheme="minorHAnsi"/>
        </w:rPr>
      </w:pPr>
      <w:r w:rsidRPr="00CF264B">
        <w:rPr>
          <w:rFonts w:cstheme="minorHAnsi"/>
        </w:rPr>
        <w:t>The power to develop standards could sit with the AGB, but the</w:t>
      </w:r>
      <w:r w:rsidR="006A4A1A">
        <w:rPr>
          <w:rFonts w:cstheme="minorHAnsi"/>
        </w:rPr>
        <w:t xml:space="preserve"> final</w:t>
      </w:r>
      <w:r w:rsidR="004B1C9F" w:rsidRPr="00CF264B">
        <w:rPr>
          <w:rFonts w:cstheme="minorHAnsi"/>
        </w:rPr>
        <w:t xml:space="preserve"> decision over </w:t>
      </w:r>
      <w:r w:rsidR="004F2B67" w:rsidRPr="00CF264B">
        <w:rPr>
          <w:rFonts w:cstheme="minorHAnsi"/>
        </w:rPr>
        <w:t>timeframes</w:t>
      </w:r>
      <w:r w:rsidR="004B1C9F" w:rsidRPr="00CF264B">
        <w:rPr>
          <w:rFonts w:cstheme="minorHAnsi"/>
        </w:rPr>
        <w:t xml:space="preserve"> and enforceability could reside with the Minister. This is consistent with the leadership of accessibility progress spread across the AGB, Minister, and Chief Executive. </w:t>
      </w:r>
      <w:r w:rsidR="009E541D" w:rsidRPr="00CF264B">
        <w:rPr>
          <w:rFonts w:cstheme="minorHAnsi"/>
        </w:rPr>
        <w:t xml:space="preserve">The AGB’s power would therefore remain </w:t>
      </w:r>
      <w:r w:rsidR="004F2B67" w:rsidRPr="00CF264B">
        <w:rPr>
          <w:rFonts w:cstheme="minorHAnsi"/>
        </w:rPr>
        <w:t xml:space="preserve">recommendatory, but with built-in transparency. </w:t>
      </w:r>
    </w:p>
    <w:p w14:paraId="45A32C85" w14:textId="1F502433" w:rsidR="009F2061" w:rsidRDefault="009F2061" w:rsidP="001F748E">
      <w:pPr>
        <w:jc w:val="both"/>
        <w:rPr>
          <w:rFonts w:cstheme="minorHAnsi"/>
        </w:rPr>
      </w:pPr>
      <w:r w:rsidRPr="00CF264B">
        <w:rPr>
          <w:rFonts w:cstheme="minorHAnsi"/>
        </w:rPr>
        <w:t xml:space="preserve">Standards – even as </w:t>
      </w:r>
      <w:r w:rsidR="004177BC" w:rsidRPr="00CF264B">
        <w:rPr>
          <w:rFonts w:cstheme="minorHAnsi"/>
        </w:rPr>
        <w:t>one possible</w:t>
      </w:r>
      <w:r w:rsidRPr="00CF264B">
        <w:rPr>
          <w:rFonts w:cstheme="minorHAnsi"/>
        </w:rPr>
        <w:t xml:space="preserve"> tool - would ensure that the framework has a measure of </w:t>
      </w:r>
      <w:r w:rsidR="004F2B67" w:rsidRPr="00CF264B">
        <w:rPr>
          <w:rFonts w:cstheme="minorHAnsi"/>
        </w:rPr>
        <w:t>regulation</w:t>
      </w:r>
      <w:r w:rsidRPr="00CF264B">
        <w:rPr>
          <w:rFonts w:cstheme="minorHAnsi"/>
        </w:rPr>
        <w:t xml:space="preserve"> that the Access Alliance seeks.</w:t>
      </w:r>
      <w:r w:rsidRPr="00CF264B">
        <w:rPr>
          <w:rStyle w:val="FootnoteReference"/>
          <w:rFonts w:cstheme="minorHAnsi"/>
        </w:rPr>
        <w:footnoteReference w:id="44"/>
      </w:r>
    </w:p>
    <w:p w14:paraId="60897B5D" w14:textId="77777777" w:rsidR="009C38CF" w:rsidRPr="00CF264B" w:rsidRDefault="009C38CF" w:rsidP="001F748E">
      <w:pPr>
        <w:jc w:val="both"/>
        <w:rPr>
          <w:rFonts w:cstheme="minorHAnsi"/>
          <w:b/>
          <w:bCs/>
        </w:rPr>
      </w:pPr>
    </w:p>
    <w:p w14:paraId="3A1AE231" w14:textId="79EFEB48" w:rsidR="004177BC" w:rsidRPr="00CF264B" w:rsidRDefault="00792CCD" w:rsidP="00A47FB0">
      <w:pPr>
        <w:pStyle w:val="Heading2"/>
        <w:rPr>
          <w:b w:val="0"/>
        </w:rPr>
      </w:pPr>
      <w:r w:rsidRPr="00CF264B">
        <w:t xml:space="preserve">6.4 </w:t>
      </w:r>
      <w:r w:rsidR="004177BC" w:rsidRPr="00CF264B">
        <w:t>Complaint Mechanism and Dispute Resolution</w:t>
      </w:r>
    </w:p>
    <w:p w14:paraId="4C367A1B" w14:textId="1E00FE6C" w:rsidR="002F02C1" w:rsidRPr="00CF264B" w:rsidRDefault="004177BC" w:rsidP="001F748E">
      <w:pPr>
        <w:jc w:val="both"/>
        <w:rPr>
          <w:rFonts w:cstheme="minorHAnsi"/>
        </w:rPr>
      </w:pPr>
      <w:r w:rsidRPr="00CF264B">
        <w:rPr>
          <w:rFonts w:cstheme="minorHAnsi"/>
        </w:rPr>
        <w:t xml:space="preserve">Complaints and dispute resolution </w:t>
      </w:r>
      <w:r w:rsidR="00EF477B" w:rsidRPr="00CF264B">
        <w:rPr>
          <w:rFonts w:cstheme="minorHAnsi"/>
        </w:rPr>
        <w:t xml:space="preserve">functions </w:t>
      </w:r>
      <w:r w:rsidRPr="00CF264B">
        <w:rPr>
          <w:rFonts w:cstheme="minorHAnsi"/>
        </w:rPr>
        <w:t xml:space="preserve">are </w:t>
      </w:r>
      <w:r w:rsidR="00EF477B" w:rsidRPr="00CF264B">
        <w:rPr>
          <w:rFonts w:cstheme="minorHAnsi"/>
        </w:rPr>
        <w:t xml:space="preserve">clear omissions from the </w:t>
      </w:r>
      <w:r w:rsidR="00D966AF" w:rsidRPr="00CF264B">
        <w:rPr>
          <w:rFonts w:cstheme="minorHAnsi"/>
        </w:rPr>
        <w:t xml:space="preserve">proposed </w:t>
      </w:r>
      <w:r w:rsidR="00EF477B" w:rsidRPr="00CF264B">
        <w:rPr>
          <w:rFonts w:cstheme="minorHAnsi"/>
        </w:rPr>
        <w:t xml:space="preserve">legislation. This is </w:t>
      </w:r>
      <w:r w:rsidR="005373D3">
        <w:rPr>
          <w:rFonts w:cstheme="minorHAnsi"/>
        </w:rPr>
        <w:t xml:space="preserve">despite </w:t>
      </w:r>
      <w:r w:rsidR="00EF477B" w:rsidRPr="00CF264B">
        <w:rPr>
          <w:rFonts w:cstheme="minorHAnsi"/>
        </w:rPr>
        <w:t>the Government</w:t>
      </w:r>
      <w:r w:rsidR="005373D3">
        <w:rPr>
          <w:rFonts w:cstheme="minorHAnsi"/>
        </w:rPr>
        <w:t>’s</w:t>
      </w:r>
      <w:r w:rsidR="00EF477B" w:rsidRPr="00CF264B">
        <w:rPr>
          <w:rFonts w:cstheme="minorHAnsi"/>
        </w:rPr>
        <w:t xml:space="preserve"> acknowledge</w:t>
      </w:r>
      <w:r w:rsidR="005373D3">
        <w:rPr>
          <w:rFonts w:cstheme="minorHAnsi"/>
        </w:rPr>
        <w:t>ment</w:t>
      </w:r>
      <w:r w:rsidR="00EF477B" w:rsidRPr="00CF264B">
        <w:rPr>
          <w:rFonts w:cstheme="minorHAnsi"/>
        </w:rPr>
        <w:t xml:space="preserve"> that the existing </w:t>
      </w:r>
      <w:r w:rsidR="00594DC5" w:rsidRPr="00CF264B">
        <w:rPr>
          <w:rFonts w:cstheme="minorHAnsi"/>
        </w:rPr>
        <w:t xml:space="preserve">HRA </w:t>
      </w:r>
      <w:r w:rsidR="00EF477B" w:rsidRPr="00CF264B">
        <w:rPr>
          <w:rFonts w:cstheme="minorHAnsi"/>
        </w:rPr>
        <w:t>system for disputes is, “</w:t>
      </w:r>
      <w:r w:rsidR="006A4A1A">
        <w:rPr>
          <w:rFonts w:cstheme="minorHAnsi"/>
        </w:rPr>
        <w:t>t</w:t>
      </w:r>
      <w:r w:rsidR="0096173E" w:rsidRPr="00CF264B">
        <w:rPr>
          <w:rFonts w:cstheme="minorHAnsi"/>
        </w:rPr>
        <w:t>ime-consuming and unlikely to lead to systemic change”.</w:t>
      </w:r>
      <w:r w:rsidR="0096173E" w:rsidRPr="00CF264B">
        <w:rPr>
          <w:rStyle w:val="FootnoteReference"/>
          <w:rFonts w:cstheme="minorHAnsi"/>
        </w:rPr>
        <w:footnoteReference w:id="45"/>
      </w:r>
      <w:r w:rsidR="00FE1468" w:rsidRPr="00CF264B">
        <w:rPr>
          <w:rFonts w:cstheme="minorHAnsi"/>
        </w:rPr>
        <w:t xml:space="preserve"> </w:t>
      </w:r>
      <w:r w:rsidR="00594DC5" w:rsidRPr="00CF264B">
        <w:rPr>
          <w:rFonts w:cstheme="minorHAnsi"/>
        </w:rPr>
        <w:t xml:space="preserve">The disability discrimination and reasonable accommodation complaints mechanism </w:t>
      </w:r>
      <w:r w:rsidR="00A32047">
        <w:rPr>
          <w:rFonts w:cstheme="minorHAnsi"/>
        </w:rPr>
        <w:t>will</w:t>
      </w:r>
      <w:r w:rsidR="00594DC5" w:rsidRPr="00CF264B">
        <w:rPr>
          <w:rFonts w:cstheme="minorHAnsi"/>
        </w:rPr>
        <w:t xml:space="preserve"> remain for individual complainants. </w:t>
      </w:r>
      <w:r w:rsidR="003E66CA">
        <w:rPr>
          <w:rFonts w:cstheme="minorHAnsi"/>
        </w:rPr>
        <w:t xml:space="preserve">Any dispute resolution process under the new legislation would need to complement this existing human </w:t>
      </w:r>
      <w:r w:rsidR="00A560DA">
        <w:rPr>
          <w:rFonts w:cstheme="minorHAnsi"/>
        </w:rPr>
        <w:t xml:space="preserve">rights process.  </w:t>
      </w:r>
    </w:p>
    <w:p w14:paraId="5EE4CDAD" w14:textId="57AABD8C" w:rsidR="004D13B7" w:rsidRPr="00CF264B" w:rsidRDefault="00FE1468" w:rsidP="001F748E">
      <w:pPr>
        <w:jc w:val="both"/>
        <w:rPr>
          <w:rFonts w:cstheme="minorHAnsi"/>
        </w:rPr>
      </w:pPr>
      <w:r w:rsidRPr="00CF264B">
        <w:rPr>
          <w:rFonts w:cstheme="minorHAnsi"/>
        </w:rPr>
        <w:t xml:space="preserve">Receipt of complaints </w:t>
      </w:r>
      <w:r w:rsidR="00104CEF" w:rsidRPr="00CF264B">
        <w:rPr>
          <w:rFonts w:cstheme="minorHAnsi"/>
        </w:rPr>
        <w:t xml:space="preserve">about systemic barriers and non-adherence to barrier removal </w:t>
      </w:r>
      <w:r w:rsidRPr="00CF264B">
        <w:rPr>
          <w:rFonts w:cstheme="minorHAnsi"/>
        </w:rPr>
        <w:t xml:space="preserve">could be incorporated into the role of the AGB. </w:t>
      </w:r>
      <w:r w:rsidR="00104CEF" w:rsidRPr="00CF264B">
        <w:rPr>
          <w:rFonts w:cstheme="minorHAnsi"/>
        </w:rPr>
        <w:t xml:space="preserve">Dispute resolution of these complaints could be a further </w:t>
      </w:r>
      <w:r w:rsidR="0008327B" w:rsidRPr="00CF264B">
        <w:rPr>
          <w:rFonts w:cstheme="minorHAnsi"/>
        </w:rPr>
        <w:t xml:space="preserve">power for the AGB. </w:t>
      </w:r>
    </w:p>
    <w:p w14:paraId="46B41E8D" w14:textId="011F6BD6" w:rsidR="00BA2285" w:rsidRPr="00CF264B" w:rsidRDefault="004D13B7" w:rsidP="001F748E">
      <w:pPr>
        <w:jc w:val="both"/>
        <w:rPr>
          <w:rFonts w:cstheme="minorHAnsi"/>
        </w:rPr>
      </w:pPr>
      <w:r w:rsidRPr="00CF264B">
        <w:rPr>
          <w:rFonts w:cstheme="minorHAnsi"/>
        </w:rPr>
        <w:lastRenderedPageBreak/>
        <w:t xml:space="preserve">The legislation could allow the Board to deal with and resolve disputes in a variety of ways. </w:t>
      </w:r>
      <w:r w:rsidR="00B6338A" w:rsidRPr="00CF264B">
        <w:rPr>
          <w:rFonts w:cstheme="minorHAnsi"/>
        </w:rPr>
        <w:t xml:space="preserve">Existing legislation provides examples of both a </w:t>
      </w:r>
      <w:r w:rsidR="00FE1468" w:rsidRPr="00CF264B">
        <w:rPr>
          <w:rFonts w:cstheme="minorHAnsi"/>
        </w:rPr>
        <w:t xml:space="preserve">referral system </w:t>
      </w:r>
      <w:r w:rsidRPr="00CF264B">
        <w:rPr>
          <w:rFonts w:cstheme="minorHAnsi"/>
        </w:rPr>
        <w:t>for complaints</w:t>
      </w:r>
      <w:r w:rsidR="00B6338A" w:rsidRPr="00CF264B">
        <w:rPr>
          <w:rStyle w:val="FootnoteReference"/>
          <w:rFonts w:cstheme="minorHAnsi"/>
        </w:rPr>
        <w:footnoteReference w:id="46"/>
      </w:r>
      <w:r w:rsidRPr="00CF264B">
        <w:rPr>
          <w:rFonts w:cstheme="minorHAnsi"/>
        </w:rPr>
        <w:t xml:space="preserve"> and a settlement function</w:t>
      </w:r>
      <w:r w:rsidR="008C1BEA">
        <w:rPr>
          <w:rFonts w:cstheme="minorHAnsi"/>
        </w:rPr>
        <w:t>.</w:t>
      </w:r>
      <w:r w:rsidR="00B6338A" w:rsidRPr="00CF264B">
        <w:rPr>
          <w:rStyle w:val="FootnoteReference"/>
          <w:rFonts w:cstheme="minorHAnsi"/>
        </w:rPr>
        <w:footnoteReference w:id="47"/>
      </w:r>
      <w:r w:rsidR="00B6338A" w:rsidRPr="00CF264B">
        <w:rPr>
          <w:rFonts w:cstheme="minorHAnsi"/>
        </w:rPr>
        <w:t xml:space="preserve"> Complaints and dispute resolution options would also act as notifications, providing valuable </w:t>
      </w:r>
      <w:r w:rsidR="00A00FE5" w:rsidRPr="00CF264B">
        <w:rPr>
          <w:rFonts w:cstheme="minorHAnsi"/>
        </w:rPr>
        <w:t xml:space="preserve">information </w:t>
      </w:r>
      <w:r w:rsidR="0008327B" w:rsidRPr="00CF264B">
        <w:rPr>
          <w:rFonts w:cstheme="minorHAnsi"/>
        </w:rPr>
        <w:t xml:space="preserve">to contribute </w:t>
      </w:r>
      <w:r w:rsidR="00125C0C" w:rsidRPr="00CF264B">
        <w:rPr>
          <w:rFonts w:cstheme="minorHAnsi"/>
        </w:rPr>
        <w:t>to</w:t>
      </w:r>
      <w:r w:rsidR="00B6338A" w:rsidRPr="00CF264B">
        <w:rPr>
          <w:rFonts w:cstheme="minorHAnsi"/>
        </w:rPr>
        <w:t xml:space="preserve"> the framework. </w:t>
      </w:r>
      <w:r w:rsidR="00792CCD" w:rsidRPr="00CF264B">
        <w:rPr>
          <w:rFonts w:cstheme="minorHAnsi"/>
        </w:rPr>
        <w:t xml:space="preserve">There could be a ‘stop’ function on a complaint until it was dealt with by the </w:t>
      </w:r>
      <w:r w:rsidR="00FB1F98">
        <w:rPr>
          <w:rFonts w:cstheme="minorHAnsi"/>
        </w:rPr>
        <w:t>f</w:t>
      </w:r>
      <w:r w:rsidR="00792CCD" w:rsidRPr="00CF264B">
        <w:rPr>
          <w:rFonts w:cstheme="minorHAnsi"/>
        </w:rPr>
        <w:t xml:space="preserve">ramework system. </w:t>
      </w:r>
    </w:p>
    <w:p w14:paraId="29B3E522" w14:textId="1170D03C" w:rsidR="00A00FE5" w:rsidRPr="00CF264B" w:rsidRDefault="00F9261A" w:rsidP="001F748E">
      <w:pPr>
        <w:jc w:val="both"/>
        <w:rPr>
          <w:rFonts w:cstheme="minorHAnsi"/>
        </w:rPr>
      </w:pPr>
      <w:r w:rsidRPr="00CF264B">
        <w:rPr>
          <w:rFonts w:cstheme="minorHAnsi"/>
        </w:rPr>
        <w:t>Careful c</w:t>
      </w:r>
      <w:r w:rsidR="00A00FE5" w:rsidRPr="00CF264B">
        <w:rPr>
          <w:rFonts w:cstheme="minorHAnsi"/>
        </w:rPr>
        <w:t>onsideration would have to be given to next s</w:t>
      </w:r>
      <w:r w:rsidR="00281BB1">
        <w:rPr>
          <w:rFonts w:cstheme="minorHAnsi"/>
        </w:rPr>
        <w:t xml:space="preserve">teps if the outcome from the </w:t>
      </w:r>
      <w:r w:rsidR="00104CEF" w:rsidRPr="00CF264B">
        <w:rPr>
          <w:rFonts w:cstheme="minorHAnsi"/>
        </w:rPr>
        <w:t xml:space="preserve">AGB </w:t>
      </w:r>
      <w:r w:rsidR="00281BB1">
        <w:rPr>
          <w:rFonts w:cstheme="minorHAnsi"/>
        </w:rPr>
        <w:t>dispute resolution process was unsuccessful</w:t>
      </w:r>
      <w:r w:rsidR="00A00FE5" w:rsidRPr="00CF264B">
        <w:rPr>
          <w:rFonts w:cstheme="minorHAnsi"/>
        </w:rPr>
        <w:t xml:space="preserve">. </w:t>
      </w:r>
      <w:r w:rsidRPr="00CF264B">
        <w:rPr>
          <w:rFonts w:cstheme="minorHAnsi"/>
        </w:rPr>
        <w:t xml:space="preserve">If recourse to the </w:t>
      </w:r>
      <w:r w:rsidR="008C1BEA">
        <w:rPr>
          <w:rFonts w:cstheme="minorHAnsi"/>
        </w:rPr>
        <w:t xml:space="preserve">HRRT </w:t>
      </w:r>
      <w:r w:rsidRPr="00CF264B">
        <w:rPr>
          <w:rFonts w:cstheme="minorHAnsi"/>
        </w:rPr>
        <w:t xml:space="preserve">was made </w:t>
      </w:r>
      <w:r w:rsidR="00DB4781" w:rsidRPr="00CF264B">
        <w:rPr>
          <w:rFonts w:cstheme="minorHAnsi"/>
        </w:rPr>
        <w:t>available</w:t>
      </w:r>
      <w:r w:rsidR="00281BB1">
        <w:rPr>
          <w:rFonts w:cstheme="minorHAnsi"/>
        </w:rPr>
        <w:t>,</w:t>
      </w:r>
      <w:r w:rsidR="00DB4781" w:rsidRPr="00CF264B">
        <w:rPr>
          <w:rFonts w:cstheme="minorHAnsi"/>
        </w:rPr>
        <w:t xml:space="preserve"> for example, remedies</w:t>
      </w:r>
      <w:r w:rsidRPr="00CF264B">
        <w:rPr>
          <w:rFonts w:cstheme="minorHAnsi"/>
        </w:rPr>
        <w:t xml:space="preserve"> would have to </w:t>
      </w:r>
      <w:r w:rsidR="00DB4781" w:rsidRPr="00CF264B">
        <w:rPr>
          <w:rFonts w:cstheme="minorHAnsi"/>
        </w:rPr>
        <w:t xml:space="preserve">be designed to </w:t>
      </w:r>
      <w:r w:rsidRPr="00CF264B">
        <w:rPr>
          <w:rFonts w:cstheme="minorHAnsi"/>
        </w:rPr>
        <w:t xml:space="preserve">ensure that the work under the </w:t>
      </w:r>
      <w:r w:rsidR="001A0D61">
        <w:rPr>
          <w:rFonts w:cstheme="minorHAnsi"/>
        </w:rPr>
        <w:t>f</w:t>
      </w:r>
      <w:r w:rsidRPr="00CF264B">
        <w:rPr>
          <w:rFonts w:cstheme="minorHAnsi"/>
        </w:rPr>
        <w:t xml:space="preserve">ramework was </w:t>
      </w:r>
      <w:r w:rsidR="00DB4781" w:rsidRPr="00CF264B">
        <w:rPr>
          <w:rFonts w:cstheme="minorHAnsi"/>
        </w:rPr>
        <w:t xml:space="preserve">not constrained by Tribunal orders. </w:t>
      </w:r>
    </w:p>
    <w:p w14:paraId="1A672827" w14:textId="0E4B953C" w:rsidR="00125C0C" w:rsidRDefault="0008327B" w:rsidP="001F748E">
      <w:pPr>
        <w:jc w:val="both"/>
        <w:rPr>
          <w:rFonts w:cstheme="minorHAnsi"/>
        </w:rPr>
      </w:pPr>
      <w:r w:rsidRPr="00CF264B">
        <w:rPr>
          <w:rFonts w:cstheme="minorHAnsi"/>
        </w:rPr>
        <w:t xml:space="preserve">This mechanism would encourage resolution of complaints at a relatively low level. It would </w:t>
      </w:r>
      <w:r w:rsidR="00281BB1">
        <w:rPr>
          <w:rFonts w:cstheme="minorHAnsi"/>
        </w:rPr>
        <w:t>begin</w:t>
      </w:r>
      <w:r w:rsidR="00792CCD" w:rsidRPr="00CF264B">
        <w:rPr>
          <w:rFonts w:cstheme="minorHAnsi"/>
        </w:rPr>
        <w:t xml:space="preserve"> to </w:t>
      </w:r>
      <w:r w:rsidRPr="00CF264B">
        <w:rPr>
          <w:rFonts w:cstheme="minorHAnsi"/>
        </w:rPr>
        <w:t>address the current gap in resolution of complaints about system</w:t>
      </w:r>
      <w:r w:rsidR="00D966AF" w:rsidRPr="00CF264B">
        <w:rPr>
          <w:rFonts w:cstheme="minorHAnsi"/>
        </w:rPr>
        <w:t>ic</w:t>
      </w:r>
      <w:r w:rsidRPr="00CF264B">
        <w:rPr>
          <w:rFonts w:cstheme="minorHAnsi"/>
        </w:rPr>
        <w:t xml:space="preserve"> </w:t>
      </w:r>
      <w:r w:rsidR="00D966AF" w:rsidRPr="00CF264B">
        <w:rPr>
          <w:rFonts w:cstheme="minorHAnsi"/>
        </w:rPr>
        <w:t>barriers and</w:t>
      </w:r>
      <w:r w:rsidRPr="00CF264B">
        <w:rPr>
          <w:rFonts w:cstheme="minorHAnsi"/>
        </w:rPr>
        <w:t xml:space="preserve"> </w:t>
      </w:r>
      <w:r w:rsidR="00D966AF" w:rsidRPr="00CF264B">
        <w:rPr>
          <w:rFonts w:cstheme="minorHAnsi"/>
        </w:rPr>
        <w:t xml:space="preserve">would feed into the framework process. </w:t>
      </w:r>
      <w:r w:rsidR="00281BB1">
        <w:rPr>
          <w:rFonts w:cstheme="minorHAnsi"/>
        </w:rPr>
        <w:t>Over time, a</w:t>
      </w:r>
      <w:r w:rsidR="00D966AF" w:rsidRPr="00CF264B">
        <w:rPr>
          <w:rFonts w:cstheme="minorHAnsi"/>
        </w:rPr>
        <w:t xml:space="preserve">s the envisaged framework addresses barriers, the complaint mechanism and dispute resolution service </w:t>
      </w:r>
      <w:r w:rsidR="005373D3">
        <w:rPr>
          <w:rFonts w:cstheme="minorHAnsi"/>
        </w:rPr>
        <w:t>may</w:t>
      </w:r>
      <w:r w:rsidR="00D966AF" w:rsidRPr="00CF264B">
        <w:rPr>
          <w:rFonts w:cstheme="minorHAnsi"/>
        </w:rPr>
        <w:t xml:space="preserve"> be utilised less often.</w:t>
      </w:r>
    </w:p>
    <w:p w14:paraId="04A8D799" w14:textId="77777777" w:rsidR="009C38CF" w:rsidRPr="00CF264B" w:rsidRDefault="009C38CF" w:rsidP="001F748E">
      <w:pPr>
        <w:jc w:val="both"/>
        <w:rPr>
          <w:rFonts w:cstheme="minorHAnsi"/>
        </w:rPr>
      </w:pPr>
    </w:p>
    <w:p w14:paraId="7E938C37" w14:textId="6FD8AB06" w:rsidR="00D30FA9" w:rsidRPr="00CF264B" w:rsidRDefault="00792CCD" w:rsidP="00A47FB0">
      <w:pPr>
        <w:pStyle w:val="Heading2"/>
        <w:rPr>
          <w:b w:val="0"/>
        </w:rPr>
      </w:pPr>
      <w:r w:rsidRPr="00CF264B">
        <w:t xml:space="preserve">6.5 </w:t>
      </w:r>
      <w:r w:rsidR="00D30FA9" w:rsidRPr="00CF264B">
        <w:t xml:space="preserve">Monitoring </w:t>
      </w:r>
      <w:r w:rsidR="00021636" w:rsidRPr="00CF264B">
        <w:t>and System Learning</w:t>
      </w:r>
    </w:p>
    <w:p w14:paraId="6A665333" w14:textId="10F0CCC2" w:rsidR="00021636" w:rsidRDefault="00021636" w:rsidP="001F748E">
      <w:pPr>
        <w:jc w:val="both"/>
        <w:rPr>
          <w:rFonts w:cstheme="minorHAnsi"/>
        </w:rPr>
      </w:pPr>
      <w:r w:rsidRPr="00CF264B">
        <w:rPr>
          <w:rFonts w:cstheme="minorHAnsi"/>
        </w:rPr>
        <w:t xml:space="preserve">The current </w:t>
      </w:r>
      <w:r w:rsidR="00FB1F98">
        <w:rPr>
          <w:rFonts w:cstheme="minorHAnsi"/>
        </w:rPr>
        <w:t>f</w:t>
      </w:r>
      <w:r w:rsidRPr="00CF264B">
        <w:rPr>
          <w:rFonts w:cstheme="minorHAnsi"/>
        </w:rPr>
        <w:t>ramework appears to incorporate a monitoring process, feeding into a system learning function. As above, both elements would be assisted by a power to request information</w:t>
      </w:r>
      <w:r w:rsidR="00154BF5" w:rsidRPr="00CF264B">
        <w:rPr>
          <w:rFonts w:cstheme="minorHAnsi"/>
        </w:rPr>
        <w:t>.</w:t>
      </w:r>
    </w:p>
    <w:p w14:paraId="00EBF404" w14:textId="77777777" w:rsidR="009C38CF" w:rsidRPr="00CF264B" w:rsidRDefault="009C38CF" w:rsidP="001F748E">
      <w:pPr>
        <w:jc w:val="both"/>
        <w:rPr>
          <w:rFonts w:cstheme="minorHAnsi"/>
        </w:rPr>
      </w:pPr>
    </w:p>
    <w:p w14:paraId="6CB4BB15" w14:textId="71D10807" w:rsidR="00D30FA9" w:rsidRPr="00CF264B" w:rsidRDefault="00895DD7" w:rsidP="00A47FB0">
      <w:pPr>
        <w:pStyle w:val="Heading2"/>
        <w:rPr>
          <w:b w:val="0"/>
        </w:rPr>
      </w:pPr>
      <w:r>
        <w:t>6.6</w:t>
      </w:r>
      <w:r w:rsidR="00C314CF" w:rsidRPr="00CF264B">
        <w:t xml:space="preserve"> </w:t>
      </w:r>
      <w:r w:rsidR="00D30FA9" w:rsidRPr="00CF264B">
        <w:t xml:space="preserve">Enforcement </w:t>
      </w:r>
    </w:p>
    <w:p w14:paraId="7C9946F7" w14:textId="5D693067" w:rsidR="00D30FA9" w:rsidRPr="00CF264B" w:rsidRDefault="00C314CF" w:rsidP="001F748E">
      <w:pPr>
        <w:jc w:val="both"/>
        <w:rPr>
          <w:rFonts w:cstheme="minorHAnsi"/>
        </w:rPr>
      </w:pPr>
      <w:r w:rsidRPr="00CF264B">
        <w:rPr>
          <w:rFonts w:cstheme="minorHAnsi"/>
        </w:rPr>
        <w:t xml:space="preserve">As currently envisaged, there are no enforcement requirements in the proposed legislation. Because the </w:t>
      </w:r>
      <w:r w:rsidR="00FB1F98">
        <w:rPr>
          <w:rFonts w:cstheme="minorHAnsi"/>
        </w:rPr>
        <w:t>f</w:t>
      </w:r>
      <w:r w:rsidRPr="00CF264B">
        <w:rPr>
          <w:rFonts w:cstheme="minorHAnsi"/>
        </w:rPr>
        <w:t xml:space="preserve">ramework only allows for recommendations to decision makers, there is essentially nothing to enforce.  </w:t>
      </w:r>
    </w:p>
    <w:p w14:paraId="2BF4CB38" w14:textId="4FA1ED48" w:rsidR="004B41F2" w:rsidRDefault="00576C08" w:rsidP="001F748E">
      <w:pPr>
        <w:jc w:val="both"/>
        <w:rPr>
          <w:rFonts w:cstheme="minorHAnsi"/>
        </w:rPr>
      </w:pPr>
      <w:r w:rsidRPr="00CF264B">
        <w:rPr>
          <w:rFonts w:cstheme="minorHAnsi"/>
        </w:rPr>
        <w:t xml:space="preserve">As above, a power to design standards </w:t>
      </w:r>
      <w:r w:rsidR="005373D3">
        <w:rPr>
          <w:rFonts w:cstheme="minorHAnsi"/>
        </w:rPr>
        <w:t>may be required</w:t>
      </w:r>
      <w:r w:rsidRPr="00CF264B">
        <w:rPr>
          <w:rFonts w:cstheme="minorHAnsi"/>
        </w:rPr>
        <w:t>. If</w:t>
      </w:r>
      <w:r w:rsidR="00F07E39" w:rsidRPr="00CF264B">
        <w:rPr>
          <w:rFonts w:cstheme="minorHAnsi"/>
        </w:rPr>
        <w:t xml:space="preserve"> made </w:t>
      </w:r>
      <w:r w:rsidR="005373D3">
        <w:rPr>
          <w:rFonts w:cstheme="minorHAnsi"/>
        </w:rPr>
        <w:t>mandatory</w:t>
      </w:r>
      <w:r w:rsidRPr="00CF264B">
        <w:rPr>
          <w:rFonts w:cstheme="minorHAnsi"/>
        </w:rPr>
        <w:t xml:space="preserve">, </w:t>
      </w:r>
      <w:r w:rsidR="005373D3">
        <w:rPr>
          <w:rFonts w:cstheme="minorHAnsi"/>
        </w:rPr>
        <w:t>standards</w:t>
      </w:r>
      <w:r w:rsidRPr="00CF264B">
        <w:rPr>
          <w:rFonts w:cstheme="minorHAnsi"/>
        </w:rPr>
        <w:t xml:space="preserve"> would require </w:t>
      </w:r>
      <w:r w:rsidR="00F07E39" w:rsidRPr="00CF264B">
        <w:rPr>
          <w:rFonts w:cstheme="minorHAnsi"/>
        </w:rPr>
        <w:t xml:space="preserve">enforcement functions </w:t>
      </w:r>
      <w:r w:rsidR="006F5A87">
        <w:rPr>
          <w:rFonts w:cstheme="minorHAnsi"/>
        </w:rPr>
        <w:t xml:space="preserve">to be built into the system. Breaches could </w:t>
      </w:r>
      <w:r w:rsidR="00594DC5" w:rsidRPr="00CF264B">
        <w:rPr>
          <w:rFonts w:cstheme="minorHAnsi"/>
        </w:rPr>
        <w:t xml:space="preserve">follow the Board’s complaint and dispute resolution process. </w:t>
      </w:r>
      <w:r w:rsidR="006F5A87">
        <w:rPr>
          <w:rFonts w:cstheme="minorHAnsi"/>
        </w:rPr>
        <w:t xml:space="preserve">Lack of resolution via this process could </w:t>
      </w:r>
      <w:r w:rsidR="00594DC5" w:rsidRPr="00CF264B">
        <w:rPr>
          <w:rFonts w:cstheme="minorHAnsi"/>
        </w:rPr>
        <w:t>open access to the judicial system</w:t>
      </w:r>
      <w:r w:rsidR="006F5A87">
        <w:rPr>
          <w:rFonts w:cstheme="minorHAnsi"/>
        </w:rPr>
        <w:t xml:space="preserve">. </w:t>
      </w:r>
    </w:p>
    <w:p w14:paraId="6C2D67AA" w14:textId="6B5BE696" w:rsidR="00AA115A" w:rsidRDefault="006F5A87" w:rsidP="001F748E">
      <w:pPr>
        <w:jc w:val="both"/>
        <w:rPr>
          <w:rFonts w:cstheme="minorHAnsi"/>
        </w:rPr>
      </w:pPr>
      <w:r>
        <w:rPr>
          <w:rFonts w:cstheme="minorHAnsi"/>
        </w:rPr>
        <w:t xml:space="preserve">The AGB process </w:t>
      </w:r>
      <w:r w:rsidR="004B41F2">
        <w:rPr>
          <w:rFonts w:cstheme="minorHAnsi"/>
        </w:rPr>
        <w:t>could</w:t>
      </w:r>
      <w:r>
        <w:rPr>
          <w:rFonts w:cstheme="minorHAnsi"/>
        </w:rPr>
        <w:t xml:space="preserve"> act as a ‘gateway’</w:t>
      </w:r>
      <w:r w:rsidR="00594DC5" w:rsidRPr="00CF264B">
        <w:rPr>
          <w:rFonts w:cstheme="minorHAnsi"/>
        </w:rPr>
        <w:t xml:space="preserve"> </w:t>
      </w:r>
      <w:r>
        <w:rPr>
          <w:rFonts w:cstheme="minorHAnsi"/>
        </w:rPr>
        <w:t>for enforcement action in the courts</w:t>
      </w:r>
      <w:r w:rsidR="00DF13C1">
        <w:rPr>
          <w:rFonts w:cstheme="minorHAnsi"/>
        </w:rPr>
        <w:t>, similar to the Privacy Commissioner and Health and Disability Commissioner systems</w:t>
      </w:r>
      <w:r>
        <w:rPr>
          <w:rFonts w:cstheme="minorHAnsi"/>
        </w:rPr>
        <w:t xml:space="preserve">. </w:t>
      </w:r>
      <w:r w:rsidR="00DF13C1">
        <w:rPr>
          <w:rFonts w:cstheme="minorHAnsi"/>
        </w:rPr>
        <w:t xml:space="preserve">These systems also incorporate the use of an independent </w:t>
      </w:r>
      <w:r w:rsidR="004B41F2">
        <w:rPr>
          <w:rFonts w:cstheme="minorHAnsi"/>
        </w:rPr>
        <w:t xml:space="preserve">Director’s </w:t>
      </w:r>
      <w:r w:rsidR="00DF13C1">
        <w:rPr>
          <w:rFonts w:cstheme="minorHAnsi"/>
        </w:rPr>
        <w:t xml:space="preserve">office to </w:t>
      </w:r>
      <w:r w:rsidR="004B41F2">
        <w:rPr>
          <w:rFonts w:cstheme="minorHAnsi"/>
        </w:rPr>
        <w:t xml:space="preserve">take cases to tribunals. A similar office </w:t>
      </w:r>
      <w:r w:rsidR="008E34D8">
        <w:rPr>
          <w:rFonts w:cstheme="minorHAnsi"/>
        </w:rPr>
        <w:t xml:space="preserve">could undertake the same function in this system, </w:t>
      </w:r>
      <w:r w:rsidR="00EF08E9">
        <w:rPr>
          <w:rFonts w:cstheme="minorHAnsi"/>
        </w:rPr>
        <w:t>ensuring the AGB remained at arm’s length from direct enforcement action.</w:t>
      </w:r>
    </w:p>
    <w:p w14:paraId="3FA9E69A" w14:textId="77777777" w:rsidR="009C38CF" w:rsidRPr="00CF264B" w:rsidRDefault="009C38CF" w:rsidP="001F748E">
      <w:pPr>
        <w:jc w:val="both"/>
        <w:rPr>
          <w:rFonts w:cstheme="minorHAnsi"/>
        </w:rPr>
      </w:pPr>
    </w:p>
    <w:p w14:paraId="1FEF3572" w14:textId="29785EB9" w:rsidR="002F02C1" w:rsidRPr="00CF264B" w:rsidRDefault="00895DD7" w:rsidP="00A47FB0">
      <w:pPr>
        <w:pStyle w:val="Heading1"/>
      </w:pPr>
      <w:r>
        <w:t>7</w:t>
      </w:r>
      <w:r w:rsidR="005F3298" w:rsidRPr="00CF264B">
        <w:t xml:space="preserve">. </w:t>
      </w:r>
      <w:r w:rsidR="002F02C1" w:rsidRPr="00CF264B">
        <w:t xml:space="preserve">Summary </w:t>
      </w:r>
    </w:p>
    <w:p w14:paraId="46ED4945" w14:textId="0A4062A3" w:rsidR="004B182B" w:rsidRPr="00CF264B" w:rsidRDefault="004B182B" w:rsidP="00136A62">
      <w:pPr>
        <w:jc w:val="both"/>
        <w:rPr>
          <w:rFonts w:cstheme="minorHAnsi"/>
        </w:rPr>
      </w:pPr>
      <w:r w:rsidRPr="00CF264B">
        <w:rPr>
          <w:rFonts w:cstheme="minorHAnsi"/>
        </w:rPr>
        <w:t xml:space="preserve">This paper acknowledges that the Government’s proposed accessibility legislation </w:t>
      </w:r>
      <w:r w:rsidR="007C2BEB" w:rsidRPr="00CF264B">
        <w:rPr>
          <w:rFonts w:cstheme="minorHAnsi"/>
        </w:rPr>
        <w:t>is a step towards greater accessibility</w:t>
      </w:r>
      <w:r w:rsidRPr="00CF264B">
        <w:rPr>
          <w:rFonts w:cstheme="minorHAnsi"/>
        </w:rPr>
        <w:t xml:space="preserve">. </w:t>
      </w:r>
      <w:r w:rsidR="007C2BEB" w:rsidRPr="00CF264B">
        <w:rPr>
          <w:rFonts w:cstheme="minorHAnsi"/>
        </w:rPr>
        <w:t xml:space="preserve">It provides a </w:t>
      </w:r>
      <w:r w:rsidR="00281BB1">
        <w:rPr>
          <w:rFonts w:cstheme="minorHAnsi"/>
        </w:rPr>
        <w:t>f</w:t>
      </w:r>
      <w:r w:rsidR="007C2BEB" w:rsidRPr="00CF264B">
        <w:rPr>
          <w:rFonts w:cstheme="minorHAnsi"/>
        </w:rPr>
        <w:t xml:space="preserve">ramework and leadership </w:t>
      </w:r>
      <w:r w:rsidR="00281BB1">
        <w:rPr>
          <w:rFonts w:cstheme="minorHAnsi"/>
        </w:rPr>
        <w:t>structure</w:t>
      </w:r>
      <w:r w:rsidR="007C2BEB" w:rsidRPr="00CF264B">
        <w:rPr>
          <w:rFonts w:cstheme="minorHAnsi"/>
        </w:rPr>
        <w:t xml:space="preserve"> for the identification and removal of barriers. </w:t>
      </w:r>
      <w:r w:rsidR="00EF08E9">
        <w:rPr>
          <w:rFonts w:cstheme="minorHAnsi"/>
        </w:rPr>
        <w:t xml:space="preserve">The </w:t>
      </w:r>
      <w:r w:rsidR="00EF10A6">
        <w:rPr>
          <w:rFonts w:cstheme="minorHAnsi"/>
        </w:rPr>
        <w:t>issue</w:t>
      </w:r>
      <w:r w:rsidR="00EF08E9">
        <w:rPr>
          <w:rFonts w:cstheme="minorHAnsi"/>
        </w:rPr>
        <w:t xml:space="preserve"> is, however, whether</w:t>
      </w:r>
      <w:r w:rsidR="007C2BEB" w:rsidRPr="00CF264B">
        <w:rPr>
          <w:rFonts w:cstheme="minorHAnsi"/>
        </w:rPr>
        <w:t xml:space="preserve"> the legislation is robust enough</w:t>
      </w:r>
      <w:r w:rsidR="00E93947">
        <w:rPr>
          <w:rFonts w:cstheme="minorHAnsi"/>
        </w:rPr>
        <w:t xml:space="preserve">, </w:t>
      </w:r>
      <w:r w:rsidR="00EF08E9">
        <w:rPr>
          <w:rFonts w:cstheme="minorHAnsi"/>
        </w:rPr>
        <w:t>or whether it lacks</w:t>
      </w:r>
      <w:r w:rsidR="007C2BEB" w:rsidRPr="00CF264B">
        <w:rPr>
          <w:rFonts w:cstheme="minorHAnsi"/>
        </w:rPr>
        <w:t xml:space="preserve"> “real force and real effect”.</w:t>
      </w:r>
      <w:r w:rsidR="00C54B4A" w:rsidRPr="00CF264B">
        <w:rPr>
          <w:rStyle w:val="FootnoteReference"/>
          <w:rFonts w:cstheme="minorHAnsi"/>
        </w:rPr>
        <w:footnoteReference w:id="48"/>
      </w:r>
    </w:p>
    <w:p w14:paraId="3CACBD4A" w14:textId="3F076709" w:rsidR="00136A62" w:rsidRPr="00CF264B" w:rsidRDefault="00F07E39" w:rsidP="00136A62">
      <w:pPr>
        <w:jc w:val="both"/>
        <w:rPr>
          <w:rFonts w:cstheme="minorHAnsi"/>
        </w:rPr>
      </w:pPr>
      <w:r w:rsidRPr="00CF264B">
        <w:rPr>
          <w:rFonts w:cstheme="minorHAnsi"/>
        </w:rPr>
        <w:t xml:space="preserve">The </w:t>
      </w:r>
      <w:r w:rsidR="00EF08E9">
        <w:rPr>
          <w:rFonts w:cstheme="minorHAnsi"/>
        </w:rPr>
        <w:t xml:space="preserve">discussion points </w:t>
      </w:r>
      <w:r w:rsidRPr="00CF264B">
        <w:rPr>
          <w:rFonts w:cstheme="minorHAnsi"/>
        </w:rPr>
        <w:t xml:space="preserve">outlined above </w:t>
      </w:r>
      <w:r w:rsidR="00480598">
        <w:rPr>
          <w:rFonts w:cstheme="minorHAnsi"/>
        </w:rPr>
        <w:t xml:space="preserve">would change the role of the AGB. </w:t>
      </w:r>
      <w:r w:rsidRPr="00CF264B">
        <w:rPr>
          <w:rFonts w:cstheme="minorHAnsi"/>
        </w:rPr>
        <w:t>The AGB would no longer</w:t>
      </w:r>
      <w:r w:rsidR="00136A62" w:rsidRPr="00CF264B">
        <w:rPr>
          <w:rFonts w:cstheme="minorHAnsi"/>
        </w:rPr>
        <w:t xml:space="preserve"> be</w:t>
      </w:r>
      <w:r w:rsidRPr="00CF264B">
        <w:rPr>
          <w:rFonts w:cstheme="minorHAnsi"/>
        </w:rPr>
        <w:t xml:space="preserve"> simply a component of the </w:t>
      </w:r>
      <w:r w:rsidR="00AA115A" w:rsidRPr="00CF264B">
        <w:rPr>
          <w:rFonts w:cstheme="minorHAnsi"/>
        </w:rPr>
        <w:t>leadership decision</w:t>
      </w:r>
      <w:r w:rsidRPr="00CF264B">
        <w:rPr>
          <w:rFonts w:cstheme="minorHAnsi"/>
        </w:rPr>
        <w:t xml:space="preserve"> </w:t>
      </w:r>
      <w:r w:rsidR="00AA115A" w:rsidRPr="00CF264B">
        <w:rPr>
          <w:rFonts w:cstheme="minorHAnsi"/>
        </w:rPr>
        <w:t xml:space="preserve">making process, but </w:t>
      </w:r>
      <w:r w:rsidR="00084523" w:rsidRPr="00CF264B">
        <w:rPr>
          <w:rFonts w:cstheme="minorHAnsi"/>
        </w:rPr>
        <w:t>a senior partner</w:t>
      </w:r>
      <w:r w:rsidR="008C07AC" w:rsidRPr="00CF264B">
        <w:rPr>
          <w:rFonts w:cstheme="minorHAnsi"/>
        </w:rPr>
        <w:t xml:space="preserve"> with additional powers</w:t>
      </w:r>
      <w:r w:rsidR="00084523" w:rsidRPr="00CF264B">
        <w:rPr>
          <w:rFonts w:cstheme="minorHAnsi"/>
        </w:rPr>
        <w:t xml:space="preserve">. </w:t>
      </w:r>
      <w:r w:rsidR="00480598">
        <w:rPr>
          <w:rFonts w:cstheme="minorHAnsi"/>
        </w:rPr>
        <w:t>Arguably, as</w:t>
      </w:r>
      <w:r w:rsidR="00136A62" w:rsidRPr="00CF264B">
        <w:rPr>
          <w:rFonts w:cstheme="minorHAnsi"/>
        </w:rPr>
        <w:t xml:space="preserve"> the AGB will be led and operated by disabled people it is the appropriate body to hold these functions. </w:t>
      </w:r>
    </w:p>
    <w:p w14:paraId="18CC5B40" w14:textId="2CE7048E" w:rsidR="004B182B" w:rsidRPr="00CF264B" w:rsidRDefault="004B182B" w:rsidP="00136A62">
      <w:pPr>
        <w:jc w:val="both"/>
        <w:rPr>
          <w:rFonts w:cstheme="minorHAnsi"/>
        </w:rPr>
      </w:pPr>
      <w:r w:rsidRPr="00CF264B">
        <w:rPr>
          <w:rFonts w:cstheme="minorHAnsi"/>
        </w:rPr>
        <w:t xml:space="preserve">Making the </w:t>
      </w:r>
      <w:r w:rsidR="00E93947">
        <w:rPr>
          <w:rFonts w:cstheme="minorHAnsi"/>
        </w:rPr>
        <w:t>f</w:t>
      </w:r>
      <w:r w:rsidRPr="00CF264B">
        <w:rPr>
          <w:rFonts w:cstheme="minorHAnsi"/>
        </w:rPr>
        <w:t xml:space="preserve">ramework more robust and </w:t>
      </w:r>
      <w:r w:rsidR="00C54B4A" w:rsidRPr="00CF264B">
        <w:rPr>
          <w:rFonts w:cstheme="minorHAnsi"/>
        </w:rPr>
        <w:t>the AGB more effective w</w:t>
      </w:r>
      <w:r w:rsidR="00E93947">
        <w:rPr>
          <w:rFonts w:cstheme="minorHAnsi"/>
        </w:rPr>
        <w:t xml:space="preserve">ould </w:t>
      </w:r>
      <w:r w:rsidR="000A6420" w:rsidRPr="00CF264B">
        <w:rPr>
          <w:rFonts w:cstheme="minorHAnsi"/>
        </w:rPr>
        <w:t>further</w:t>
      </w:r>
      <w:r w:rsidR="00C54B4A" w:rsidRPr="00CF264B">
        <w:rPr>
          <w:rFonts w:cstheme="minorHAnsi"/>
        </w:rPr>
        <w:t xml:space="preserve"> the Government meet</w:t>
      </w:r>
      <w:r w:rsidR="000A6420" w:rsidRPr="00CF264B">
        <w:rPr>
          <w:rFonts w:cstheme="minorHAnsi"/>
        </w:rPr>
        <w:t>ing</w:t>
      </w:r>
      <w:r w:rsidR="00C54B4A" w:rsidRPr="00CF264B">
        <w:rPr>
          <w:rFonts w:cstheme="minorHAnsi"/>
        </w:rPr>
        <w:t xml:space="preserve"> it</w:t>
      </w:r>
      <w:r w:rsidR="000A6420" w:rsidRPr="00CF264B">
        <w:rPr>
          <w:rFonts w:cstheme="minorHAnsi"/>
        </w:rPr>
        <w:t>s</w:t>
      </w:r>
      <w:r w:rsidR="00C54B4A" w:rsidRPr="00CF264B">
        <w:rPr>
          <w:rFonts w:cstheme="minorHAnsi"/>
        </w:rPr>
        <w:t xml:space="preserve"> C</w:t>
      </w:r>
      <w:r w:rsidR="000A6420" w:rsidRPr="00CF264B">
        <w:rPr>
          <w:rFonts w:cstheme="minorHAnsi"/>
        </w:rPr>
        <w:t xml:space="preserve">RPD </w:t>
      </w:r>
      <w:r w:rsidR="00C54B4A" w:rsidRPr="00CF264B">
        <w:rPr>
          <w:rFonts w:cstheme="minorHAnsi"/>
        </w:rPr>
        <w:t xml:space="preserve">obligations to take ‘appropriate measures’ to ensure </w:t>
      </w:r>
      <w:r w:rsidR="000A6420" w:rsidRPr="00CF264B">
        <w:rPr>
          <w:rFonts w:cstheme="minorHAnsi"/>
        </w:rPr>
        <w:t xml:space="preserve">disable people have equal access to all areas of life. </w:t>
      </w:r>
    </w:p>
    <w:p w14:paraId="7D862B45" w14:textId="77777777" w:rsidR="004B182B" w:rsidRPr="00CF264B" w:rsidRDefault="004B182B" w:rsidP="00136A62">
      <w:pPr>
        <w:jc w:val="both"/>
        <w:rPr>
          <w:rFonts w:cstheme="minorHAnsi"/>
        </w:rPr>
      </w:pPr>
    </w:p>
    <w:p w14:paraId="30BE594F" w14:textId="77777777" w:rsidR="00136A62" w:rsidRPr="00CF264B" w:rsidRDefault="00136A62" w:rsidP="00136A62">
      <w:pPr>
        <w:jc w:val="both"/>
        <w:rPr>
          <w:rFonts w:cstheme="minorHAnsi"/>
        </w:rPr>
      </w:pPr>
    </w:p>
    <w:sectPr w:rsidR="00136A62" w:rsidRPr="00CF264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E7853" w14:textId="77777777" w:rsidR="0045253B" w:rsidRDefault="0045253B" w:rsidP="00E75D6E">
      <w:pPr>
        <w:spacing w:after="0"/>
      </w:pPr>
      <w:r>
        <w:separator/>
      </w:r>
    </w:p>
  </w:endnote>
  <w:endnote w:type="continuationSeparator" w:id="0">
    <w:p w14:paraId="1692B7E6" w14:textId="77777777" w:rsidR="0045253B" w:rsidRDefault="0045253B" w:rsidP="00E75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73CD" w14:textId="77777777" w:rsidR="00550AA8" w:rsidRDefault="00550A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370980"/>
      <w:docPartObj>
        <w:docPartGallery w:val="Page Numbers (Bottom of Page)"/>
        <w:docPartUnique/>
      </w:docPartObj>
    </w:sdtPr>
    <w:sdtEndPr>
      <w:rPr>
        <w:noProof/>
      </w:rPr>
    </w:sdtEndPr>
    <w:sdtContent>
      <w:p w14:paraId="6111E71A" w14:textId="7E51E8DA" w:rsidR="006D1646" w:rsidRDefault="006D1646">
        <w:pPr>
          <w:pStyle w:val="Footer"/>
          <w:jc w:val="center"/>
        </w:pPr>
        <w:r>
          <w:fldChar w:fldCharType="begin"/>
        </w:r>
        <w:r>
          <w:instrText xml:space="preserve"> PAGE   \* MERGEFORMAT </w:instrText>
        </w:r>
        <w:r>
          <w:fldChar w:fldCharType="separate"/>
        </w:r>
        <w:r w:rsidR="00322AAA">
          <w:rPr>
            <w:noProof/>
          </w:rPr>
          <w:t>2</w:t>
        </w:r>
        <w:r>
          <w:rPr>
            <w:noProof/>
          </w:rPr>
          <w:fldChar w:fldCharType="end"/>
        </w:r>
      </w:p>
    </w:sdtContent>
  </w:sdt>
  <w:p w14:paraId="459B75C5" w14:textId="77777777" w:rsidR="00550AA8" w:rsidRDefault="00550A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5627" w14:textId="77777777" w:rsidR="00550AA8" w:rsidRDefault="00550A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7E30" w14:textId="77777777" w:rsidR="0045253B" w:rsidRDefault="0045253B" w:rsidP="00E75D6E">
      <w:pPr>
        <w:spacing w:after="0"/>
      </w:pPr>
      <w:r>
        <w:separator/>
      </w:r>
    </w:p>
  </w:footnote>
  <w:footnote w:type="continuationSeparator" w:id="0">
    <w:p w14:paraId="432F2265" w14:textId="77777777" w:rsidR="0045253B" w:rsidRDefault="0045253B" w:rsidP="00E75D6E">
      <w:pPr>
        <w:spacing w:after="0"/>
      </w:pPr>
      <w:r>
        <w:continuationSeparator/>
      </w:r>
    </w:p>
  </w:footnote>
  <w:footnote w:id="1">
    <w:p w14:paraId="5FAA6FB5" w14:textId="48258508" w:rsidR="006B02D6" w:rsidRPr="006B02D6" w:rsidRDefault="006B02D6">
      <w:pPr>
        <w:pStyle w:val="FootnoteText"/>
        <w:rPr>
          <w:rFonts w:cstheme="minorHAnsi"/>
          <w:color w:val="000000" w:themeColor="text1"/>
          <w:lang w:val="en-AU"/>
        </w:rPr>
      </w:pPr>
      <w:r>
        <w:rPr>
          <w:rStyle w:val="FootnoteReference"/>
        </w:rPr>
        <w:footnoteRef/>
      </w:r>
      <w:r>
        <w:t xml:space="preserve"> </w:t>
      </w:r>
      <w:r>
        <w:rPr>
          <w:lang w:val="en-AU"/>
        </w:rPr>
        <w:t xml:space="preserve">Auckland Disability </w:t>
      </w:r>
      <w:r w:rsidRPr="006B02D6">
        <w:rPr>
          <w:rFonts w:cstheme="minorHAnsi"/>
          <w:lang w:val="en-AU"/>
        </w:rPr>
        <w:t>Law</w:t>
      </w:r>
      <w:r>
        <w:rPr>
          <w:rFonts w:cstheme="minorHAnsi"/>
          <w:lang w:val="en-AU"/>
        </w:rPr>
        <w:t xml:space="preserve"> (ADL) </w:t>
      </w:r>
      <w:r w:rsidRPr="006B02D6">
        <w:rPr>
          <w:rFonts w:cstheme="minorHAnsi"/>
          <w:color w:val="000000" w:themeColor="text1"/>
          <w:lang w:val="en-AU"/>
        </w:rPr>
        <w:t>is a</w:t>
      </w:r>
      <w:r>
        <w:rPr>
          <w:rFonts w:cstheme="minorHAnsi"/>
          <w:color w:val="000000" w:themeColor="text1"/>
          <w:lang w:val="en-AU"/>
        </w:rPr>
        <w:t xml:space="preserve"> </w:t>
      </w:r>
      <w:r w:rsidRPr="006B02D6">
        <w:rPr>
          <w:rFonts w:cstheme="minorHAnsi"/>
          <w:color w:val="000000" w:themeColor="text1"/>
          <w:lang w:val="en-AU"/>
        </w:rPr>
        <w:t xml:space="preserve">Community Law Centre that </w:t>
      </w:r>
      <w:r w:rsidRPr="006B02D6">
        <w:rPr>
          <w:rFonts w:cstheme="minorHAnsi"/>
          <w:color w:val="000000" w:themeColor="text1"/>
          <w:shd w:val="clear" w:color="auto" w:fill="FFFFFF"/>
        </w:rPr>
        <w:t>provides free legal services to disabled people associated with their disability related legal issues. ADL is the only specialist disability law community law centre in Aotearoa New Zealand.</w:t>
      </w:r>
    </w:p>
  </w:footnote>
  <w:footnote w:id="2">
    <w:p w14:paraId="14B455D1" w14:textId="75101650" w:rsidR="00C00A99" w:rsidRPr="00C00A99" w:rsidRDefault="00C00A99">
      <w:pPr>
        <w:pStyle w:val="FootnoteText"/>
        <w:rPr>
          <w:lang w:val="en-AU"/>
        </w:rPr>
      </w:pPr>
      <w:r>
        <w:rPr>
          <w:rStyle w:val="FootnoteReference"/>
        </w:rPr>
        <w:footnoteRef/>
      </w:r>
      <w:r>
        <w:t xml:space="preserve"> </w:t>
      </w:r>
      <w:r w:rsidR="00613F44">
        <w:t xml:space="preserve">Ministry of Social Development, </w:t>
      </w:r>
      <w:r w:rsidR="00613F44" w:rsidRPr="00175C6E">
        <w:rPr>
          <w:i/>
          <w:iCs/>
        </w:rPr>
        <w:t>Regulatory Impact Statement</w:t>
      </w:r>
      <w:r w:rsidR="00175C6E" w:rsidRPr="00175C6E">
        <w:rPr>
          <w:i/>
          <w:iCs/>
        </w:rPr>
        <w:t>: Accelerating Accessibility</w:t>
      </w:r>
      <w:r w:rsidR="00175C6E">
        <w:t xml:space="preserve"> (</w:t>
      </w:r>
      <w:r w:rsidR="001D5A80">
        <w:rPr>
          <w:lang w:val="en-AU"/>
        </w:rPr>
        <w:t>RIS</w:t>
      </w:r>
      <w:r w:rsidR="00175C6E">
        <w:rPr>
          <w:lang w:val="en-AU"/>
        </w:rPr>
        <w:t>)</w:t>
      </w:r>
      <w:r w:rsidR="007B08F2">
        <w:rPr>
          <w:lang w:val="en-AU"/>
        </w:rPr>
        <w:t xml:space="preserve"> </w:t>
      </w:r>
      <w:r w:rsidR="00175C6E">
        <w:rPr>
          <w:lang w:val="en-AU"/>
        </w:rPr>
        <w:t>(1 October 2021),</w:t>
      </w:r>
      <w:r w:rsidR="001D5A80">
        <w:rPr>
          <w:lang w:val="en-AU"/>
        </w:rPr>
        <w:t xml:space="preserve"> </w:t>
      </w:r>
      <w:r w:rsidR="00D92C05">
        <w:rPr>
          <w:lang w:val="en-AU"/>
        </w:rPr>
        <w:t xml:space="preserve">at </w:t>
      </w:r>
      <w:r w:rsidR="001D5A80">
        <w:rPr>
          <w:lang w:val="en-AU"/>
        </w:rPr>
        <w:t>3</w:t>
      </w:r>
    </w:p>
  </w:footnote>
  <w:footnote w:id="3">
    <w:p w14:paraId="100E548F" w14:textId="1549EEF7" w:rsidR="00E75D6E" w:rsidRPr="00E75D6E" w:rsidRDefault="00E75D6E">
      <w:pPr>
        <w:pStyle w:val="FootnoteText"/>
        <w:rPr>
          <w:lang w:val="en-AU"/>
        </w:rPr>
      </w:pPr>
      <w:r>
        <w:rPr>
          <w:rStyle w:val="FootnoteReference"/>
        </w:rPr>
        <w:footnoteRef/>
      </w:r>
      <w:r>
        <w:t xml:space="preserve"> </w:t>
      </w:r>
      <w:r w:rsidR="00DC4B29">
        <w:rPr>
          <w:lang w:val="en-AU"/>
        </w:rPr>
        <w:t xml:space="preserve">New Zealand Government. (2021). </w:t>
      </w:r>
      <w:r w:rsidR="00DC4B29" w:rsidRPr="00DC4B29">
        <w:rPr>
          <w:i/>
          <w:iCs/>
          <w:lang w:val="en-AU"/>
        </w:rPr>
        <w:t>Government delivered transformative changes for disabled people.</w:t>
      </w:r>
      <w:r w:rsidR="00DC4B29">
        <w:rPr>
          <w:lang w:val="en-AU"/>
        </w:rPr>
        <w:t xml:space="preserve"> </w:t>
      </w:r>
      <w:r w:rsidR="00DC4B29" w:rsidRPr="00DC4B29">
        <w:rPr>
          <w:lang w:val="en-AU"/>
        </w:rPr>
        <w:t>https://www.beehive.govt.nz/release/government-delivers-transformative-changes-disabled-people</w:t>
      </w:r>
    </w:p>
  </w:footnote>
  <w:footnote w:id="4">
    <w:p w14:paraId="2EFC2A9C" w14:textId="0939696B" w:rsidR="00073225" w:rsidRPr="00073225" w:rsidRDefault="00073225">
      <w:pPr>
        <w:pStyle w:val="FootnoteText"/>
        <w:rPr>
          <w:lang w:val="en-AU"/>
        </w:rPr>
      </w:pPr>
      <w:r>
        <w:rPr>
          <w:rStyle w:val="FootnoteReference"/>
        </w:rPr>
        <w:footnoteRef/>
      </w:r>
      <w:r>
        <w:t xml:space="preserve"> </w:t>
      </w:r>
      <w:r w:rsidR="007B08F2">
        <w:rPr>
          <w:lang w:val="en-AU"/>
        </w:rPr>
        <w:t xml:space="preserve">Cabinet Paper.  </w:t>
      </w:r>
      <w:r w:rsidR="007B08F2" w:rsidRPr="007B08F2">
        <w:rPr>
          <w:i/>
          <w:iCs/>
          <w:lang w:val="en-AU"/>
        </w:rPr>
        <w:t xml:space="preserve">Accelerating Accessibility in New Zealand </w:t>
      </w:r>
      <w:r w:rsidR="007B08F2">
        <w:rPr>
          <w:lang w:val="en-AU"/>
        </w:rPr>
        <w:t xml:space="preserve">(29 September 2021) </w:t>
      </w:r>
      <w:r w:rsidR="00D92C05">
        <w:rPr>
          <w:lang w:val="en-AU"/>
        </w:rPr>
        <w:t>at 1</w:t>
      </w:r>
    </w:p>
  </w:footnote>
  <w:footnote w:id="5">
    <w:p w14:paraId="7304F5A4" w14:textId="137EE3AF" w:rsidR="00942C9D" w:rsidRPr="00942C9D" w:rsidRDefault="00942C9D">
      <w:pPr>
        <w:pStyle w:val="FootnoteText"/>
        <w:rPr>
          <w:lang w:val="en-AU"/>
        </w:rPr>
      </w:pPr>
      <w:r>
        <w:rPr>
          <w:rStyle w:val="FootnoteReference"/>
        </w:rPr>
        <w:footnoteRef/>
      </w:r>
      <w:r>
        <w:t xml:space="preserve"> </w:t>
      </w:r>
      <w:r>
        <w:rPr>
          <w:lang w:val="en-AU"/>
        </w:rPr>
        <w:t>C</w:t>
      </w:r>
      <w:r w:rsidR="00B52DC1">
        <w:rPr>
          <w:lang w:val="en-AU"/>
        </w:rPr>
        <w:t xml:space="preserve">onvention of the Rights of Persons with Disabilities (CRPD), </w:t>
      </w:r>
      <w:r>
        <w:rPr>
          <w:lang w:val="en-AU"/>
        </w:rPr>
        <w:t>article 9</w:t>
      </w:r>
    </w:p>
  </w:footnote>
  <w:footnote w:id="6">
    <w:p w14:paraId="4CA13443" w14:textId="27709319" w:rsidR="003E31DC" w:rsidRPr="003E31DC" w:rsidRDefault="003E31DC">
      <w:pPr>
        <w:pStyle w:val="FootnoteText"/>
        <w:rPr>
          <w:lang w:val="mi-NZ"/>
        </w:rPr>
      </w:pPr>
      <w:r>
        <w:rPr>
          <w:rStyle w:val="FootnoteReference"/>
        </w:rPr>
        <w:footnoteRef/>
      </w:r>
      <w:r>
        <w:t xml:space="preserve"> </w:t>
      </w:r>
      <w:r>
        <w:rPr>
          <w:lang w:val="mi-NZ"/>
        </w:rPr>
        <w:t xml:space="preserve">A s 21(1)(h) search of the NZLII Human Rights Review Tribunal database </w:t>
      </w:r>
      <w:r w:rsidR="00B55DDE">
        <w:rPr>
          <w:lang w:val="mi-NZ"/>
        </w:rPr>
        <w:t xml:space="preserve">produces two </w:t>
      </w:r>
      <w:r>
        <w:rPr>
          <w:lang w:val="mi-NZ"/>
        </w:rPr>
        <w:t>case</w:t>
      </w:r>
      <w:r w:rsidR="00B55DDE">
        <w:rPr>
          <w:lang w:val="mi-NZ"/>
        </w:rPr>
        <w:t xml:space="preserve"> results</w:t>
      </w:r>
      <w:r>
        <w:rPr>
          <w:lang w:val="mi-NZ"/>
        </w:rPr>
        <w:t xml:space="preserve"> in the 5 years 2016-2021. </w:t>
      </w:r>
      <w:r w:rsidRPr="003E31DC">
        <w:rPr>
          <w:u w:val="single"/>
          <w:lang w:val="mi-NZ"/>
        </w:rPr>
        <w:t>http://www.nzlii.org/</w:t>
      </w:r>
    </w:p>
  </w:footnote>
  <w:footnote w:id="7">
    <w:p w14:paraId="18C7C083" w14:textId="5C38D3B4" w:rsidR="00351CAD" w:rsidRPr="00351CAD" w:rsidRDefault="00351CAD">
      <w:pPr>
        <w:pStyle w:val="FootnoteText"/>
        <w:rPr>
          <w:lang w:val="en-AU"/>
        </w:rPr>
      </w:pPr>
      <w:r>
        <w:rPr>
          <w:rStyle w:val="FootnoteReference"/>
        </w:rPr>
        <w:footnoteRef/>
      </w:r>
      <w:r>
        <w:t xml:space="preserve"> </w:t>
      </w:r>
      <w:r>
        <w:rPr>
          <w:lang w:val="en-AU"/>
        </w:rPr>
        <w:t>Human Rights Act</w:t>
      </w:r>
      <w:r w:rsidR="00B52DC1">
        <w:rPr>
          <w:lang w:val="en-AU"/>
        </w:rPr>
        <w:t xml:space="preserve"> 1993</w:t>
      </w:r>
      <w:r>
        <w:rPr>
          <w:lang w:val="en-AU"/>
        </w:rPr>
        <w:t>, s</w:t>
      </w:r>
      <w:r w:rsidR="00B52DC1">
        <w:rPr>
          <w:lang w:val="en-AU"/>
        </w:rPr>
        <w:t xml:space="preserve"> </w:t>
      </w:r>
      <w:r>
        <w:rPr>
          <w:lang w:val="en-AU"/>
        </w:rPr>
        <w:t>92I</w:t>
      </w:r>
    </w:p>
  </w:footnote>
  <w:footnote w:id="8">
    <w:p w14:paraId="036E49F1" w14:textId="013D93EA" w:rsidR="00F94FEE" w:rsidRPr="00F94FEE" w:rsidRDefault="00F94FEE">
      <w:pPr>
        <w:pStyle w:val="FootnoteText"/>
        <w:rPr>
          <w:lang w:val="en-AU"/>
        </w:rPr>
      </w:pPr>
      <w:r>
        <w:rPr>
          <w:rStyle w:val="FootnoteReference"/>
        </w:rPr>
        <w:footnoteRef/>
      </w:r>
      <w:r>
        <w:t xml:space="preserve"> </w:t>
      </w:r>
      <w:r w:rsidRPr="00F94FEE">
        <w:rPr>
          <w:u w:val="single"/>
        </w:rPr>
        <w:t>Smith v Air New Zealand Ltd</w:t>
      </w:r>
      <w:r w:rsidRPr="00F94FEE">
        <w:t xml:space="preserve"> [2011] NZCA 20</w:t>
      </w:r>
    </w:p>
  </w:footnote>
  <w:footnote w:id="9">
    <w:p w14:paraId="33069708" w14:textId="4D1B49FE" w:rsidR="00F13ADE" w:rsidRPr="00F13ADE" w:rsidRDefault="00F13ADE">
      <w:pPr>
        <w:pStyle w:val="FootnoteText"/>
        <w:rPr>
          <w:lang w:val="en-AU"/>
        </w:rPr>
      </w:pPr>
      <w:r>
        <w:rPr>
          <w:rStyle w:val="FootnoteReference"/>
        </w:rPr>
        <w:footnoteRef/>
      </w:r>
      <w:r>
        <w:t xml:space="preserve"> </w:t>
      </w:r>
      <w:r>
        <w:rPr>
          <w:lang w:val="en-AU"/>
        </w:rPr>
        <w:t>CRPD, art</w:t>
      </w:r>
      <w:r w:rsidR="00B52DC1">
        <w:rPr>
          <w:lang w:val="en-AU"/>
        </w:rPr>
        <w:t>icle</w:t>
      </w:r>
      <w:r>
        <w:rPr>
          <w:lang w:val="en-AU"/>
        </w:rPr>
        <w:t xml:space="preserve"> 9 </w:t>
      </w:r>
    </w:p>
  </w:footnote>
  <w:footnote w:id="10">
    <w:p w14:paraId="1C24EF17" w14:textId="509ABA2B" w:rsidR="00243128" w:rsidRPr="00243128" w:rsidRDefault="00243128">
      <w:pPr>
        <w:pStyle w:val="FootnoteText"/>
        <w:rPr>
          <w:lang w:val="mi-NZ"/>
        </w:rPr>
      </w:pPr>
      <w:r>
        <w:rPr>
          <w:rStyle w:val="FootnoteReference"/>
        </w:rPr>
        <w:footnoteRef/>
      </w:r>
      <w:r w:rsidR="00CF0A13">
        <w:t xml:space="preserve"> Office for Disability Issues</w:t>
      </w:r>
      <w:r>
        <w:rPr>
          <w:lang w:val="mi-NZ"/>
        </w:rPr>
        <w:t xml:space="preserve">. (2016). </w:t>
      </w:r>
      <w:r w:rsidRPr="00243128">
        <w:rPr>
          <w:i/>
          <w:iCs/>
          <w:lang w:val="mi-NZ"/>
        </w:rPr>
        <w:t>New Zealand Disability Strategy 2016-2026</w:t>
      </w:r>
      <w:r>
        <w:rPr>
          <w:lang w:val="mi-NZ"/>
        </w:rPr>
        <w:t xml:space="preserve">. </w:t>
      </w:r>
      <w:r w:rsidR="00CF0A13">
        <w:rPr>
          <w:lang w:val="mi-NZ"/>
        </w:rPr>
        <w:t>Ministry of Social Development</w:t>
      </w:r>
    </w:p>
  </w:footnote>
  <w:footnote w:id="11">
    <w:p w14:paraId="41192FE9" w14:textId="06CF8FEA" w:rsidR="00B43921" w:rsidRPr="00B43921" w:rsidRDefault="00B43921">
      <w:pPr>
        <w:pStyle w:val="FootnoteText"/>
        <w:rPr>
          <w:lang w:val="mi-NZ"/>
        </w:rPr>
      </w:pPr>
      <w:r>
        <w:rPr>
          <w:rStyle w:val="FootnoteReference"/>
        </w:rPr>
        <w:footnoteRef/>
      </w:r>
      <w:r>
        <w:t xml:space="preserve"> </w:t>
      </w:r>
      <w:r w:rsidR="00F4475D">
        <w:t xml:space="preserve">(most recent) </w:t>
      </w:r>
      <w:r w:rsidR="00CF0A13">
        <w:t xml:space="preserve">Office for Disability Issues. </w:t>
      </w:r>
      <w:r>
        <w:rPr>
          <w:lang w:val="mi-NZ"/>
        </w:rPr>
        <w:t xml:space="preserve">(2019). </w:t>
      </w:r>
      <w:r w:rsidRPr="00B43921">
        <w:rPr>
          <w:i/>
          <w:iCs/>
          <w:lang w:val="mi-NZ"/>
        </w:rPr>
        <w:t>Disability Action Plan 2019-2023</w:t>
      </w:r>
      <w:r>
        <w:rPr>
          <w:lang w:val="mi-NZ"/>
        </w:rPr>
        <w:t>.</w:t>
      </w:r>
      <w:r w:rsidR="00CF0A13">
        <w:rPr>
          <w:lang w:val="mi-NZ"/>
        </w:rPr>
        <w:t xml:space="preserve"> Ministry of Social Development</w:t>
      </w:r>
    </w:p>
  </w:footnote>
  <w:footnote w:id="12">
    <w:p w14:paraId="55F47670" w14:textId="5120969C" w:rsidR="00CF0A13" w:rsidRPr="00CF0A13" w:rsidRDefault="00CF0A13">
      <w:pPr>
        <w:pStyle w:val="FootnoteText"/>
        <w:rPr>
          <w:lang w:val="mi-NZ"/>
        </w:rPr>
      </w:pPr>
      <w:r>
        <w:rPr>
          <w:rStyle w:val="FootnoteReference"/>
        </w:rPr>
        <w:footnoteRef/>
      </w:r>
      <w:r>
        <w:t xml:space="preserve"> Ministry of Social Development. (2018). </w:t>
      </w:r>
      <w:r w:rsidRPr="00CF0A13">
        <w:rPr>
          <w:i/>
          <w:iCs/>
        </w:rPr>
        <w:t>Accessibility Charter.</w:t>
      </w:r>
      <w:r>
        <w:t xml:space="preserve"> </w:t>
      </w:r>
    </w:p>
  </w:footnote>
  <w:footnote w:id="13">
    <w:p w14:paraId="52ABE542" w14:textId="311F75D0" w:rsidR="003D3BDF" w:rsidRPr="003D3BDF" w:rsidRDefault="003D3BDF">
      <w:pPr>
        <w:pStyle w:val="FootnoteText"/>
        <w:rPr>
          <w:lang w:val="en-AU"/>
        </w:rPr>
      </w:pPr>
      <w:r>
        <w:rPr>
          <w:rStyle w:val="FootnoteReference"/>
        </w:rPr>
        <w:footnoteRef/>
      </w:r>
      <w:r>
        <w:t xml:space="preserve"> </w:t>
      </w:r>
      <w:r w:rsidRPr="003D3BDF">
        <w:t>https://msd.govt.nz/about-msd-and-our-work/work-programmes/accessibility/index.html</w:t>
      </w:r>
    </w:p>
  </w:footnote>
  <w:footnote w:id="14">
    <w:p w14:paraId="55EB18D3" w14:textId="5C2249F2" w:rsidR="00F47A86" w:rsidRPr="00F47A86" w:rsidRDefault="00F47A86">
      <w:pPr>
        <w:pStyle w:val="FootnoteText"/>
        <w:rPr>
          <w:lang w:val="en-US"/>
        </w:rPr>
      </w:pPr>
      <w:r>
        <w:rPr>
          <w:rStyle w:val="FootnoteReference"/>
        </w:rPr>
        <w:footnoteRef/>
      </w:r>
      <w:r>
        <w:t xml:space="preserve"> </w:t>
      </w:r>
      <w:r>
        <w:rPr>
          <w:lang w:val="en-US"/>
        </w:rPr>
        <w:t>RIS</w:t>
      </w:r>
      <w:r w:rsidR="00031D54">
        <w:rPr>
          <w:lang w:val="en-US"/>
        </w:rPr>
        <w:t xml:space="preserve"> (n 2)</w:t>
      </w:r>
      <w:r>
        <w:rPr>
          <w:lang w:val="en-US"/>
        </w:rPr>
        <w:t xml:space="preserve"> </w:t>
      </w:r>
      <w:r w:rsidR="00B52DC1">
        <w:rPr>
          <w:lang w:val="en-US"/>
        </w:rPr>
        <w:t xml:space="preserve">at </w:t>
      </w:r>
      <w:r>
        <w:rPr>
          <w:lang w:val="en-US"/>
        </w:rPr>
        <w:t>13</w:t>
      </w:r>
    </w:p>
  </w:footnote>
  <w:footnote w:id="15">
    <w:p w14:paraId="00CFF940" w14:textId="14F45F8F" w:rsidR="003D70AE" w:rsidRPr="00137405" w:rsidRDefault="003D70AE">
      <w:pPr>
        <w:pStyle w:val="FootnoteText"/>
        <w:rPr>
          <w:lang w:val="en-US"/>
        </w:rPr>
      </w:pPr>
      <w:r>
        <w:rPr>
          <w:rStyle w:val="FootnoteReference"/>
        </w:rPr>
        <w:footnoteRef/>
      </w:r>
      <w:r>
        <w:t xml:space="preserve"> </w:t>
      </w:r>
      <w:r w:rsidRPr="00137405">
        <w:rPr>
          <w:lang w:val="en-US"/>
        </w:rPr>
        <w:t>Access Alliance</w:t>
      </w:r>
      <w:r w:rsidR="00B52DC1">
        <w:rPr>
          <w:lang w:val="en-US"/>
        </w:rPr>
        <w:t xml:space="preserve">(n.d.) </w:t>
      </w:r>
      <w:r w:rsidR="009A5C67" w:rsidRPr="00B52DC1">
        <w:rPr>
          <w:i/>
          <w:iCs/>
          <w:lang w:val="en-US"/>
        </w:rPr>
        <w:t>The Accessibility Act</w:t>
      </w:r>
      <w:r w:rsidR="009A5C67" w:rsidRPr="00AA67C8">
        <w:rPr>
          <w:lang w:val="en-US"/>
        </w:rPr>
        <w:t xml:space="preserve">. </w:t>
      </w:r>
      <w:hyperlink r:id="rId1" w:history="1">
        <w:r w:rsidR="009A5C67" w:rsidRPr="00AA67C8">
          <w:rPr>
            <w:rStyle w:val="Hyperlink"/>
            <w:color w:val="auto"/>
            <w:lang w:val="en-US"/>
          </w:rPr>
          <w:t>https://www.accessalliance.org.nz/the_accessibility_act</w:t>
        </w:r>
      </w:hyperlink>
      <w:r w:rsidR="009A5C67" w:rsidRPr="00137405">
        <w:rPr>
          <w:lang w:val="en-US"/>
        </w:rPr>
        <w:t xml:space="preserve">  </w:t>
      </w:r>
    </w:p>
  </w:footnote>
  <w:footnote w:id="16">
    <w:p w14:paraId="5A6FF477" w14:textId="54620FFD" w:rsidR="001C50BB" w:rsidRPr="001C50BB" w:rsidRDefault="001C50BB">
      <w:pPr>
        <w:pStyle w:val="FootnoteText"/>
        <w:rPr>
          <w:rFonts w:cstheme="minorHAnsi"/>
          <w:lang w:val="en-US"/>
        </w:rPr>
      </w:pPr>
      <w:r w:rsidRPr="001C50BB">
        <w:rPr>
          <w:rStyle w:val="FootnoteReference"/>
          <w:rFonts w:cstheme="minorHAnsi"/>
        </w:rPr>
        <w:footnoteRef/>
      </w:r>
      <w:r w:rsidRPr="001C50BB">
        <w:rPr>
          <w:rFonts w:cstheme="minorHAnsi"/>
        </w:rPr>
        <w:t xml:space="preserve"> </w:t>
      </w:r>
      <w:r w:rsidR="00AA67C8">
        <w:rPr>
          <w:rFonts w:cstheme="minorHAnsi"/>
        </w:rPr>
        <w:t xml:space="preserve">Cabinet </w:t>
      </w:r>
      <w:r w:rsidR="00006C13">
        <w:rPr>
          <w:rFonts w:cstheme="minorHAnsi"/>
        </w:rPr>
        <w:t>P</w:t>
      </w:r>
      <w:r w:rsidR="00AA67C8">
        <w:rPr>
          <w:rFonts w:cstheme="minorHAnsi"/>
        </w:rPr>
        <w:t>aper</w:t>
      </w:r>
      <w:r w:rsidR="00031D54">
        <w:rPr>
          <w:rFonts w:cstheme="minorHAnsi"/>
        </w:rPr>
        <w:t xml:space="preserve"> (n 4)</w:t>
      </w:r>
      <w:r w:rsidR="00AA67C8">
        <w:rPr>
          <w:rFonts w:cstheme="minorHAnsi"/>
        </w:rPr>
        <w:t xml:space="preserve"> at </w:t>
      </w:r>
      <w:r>
        <w:rPr>
          <w:rFonts w:cstheme="minorHAnsi"/>
          <w:color w:val="111827"/>
          <w:shd w:val="clear" w:color="auto" w:fill="FFFFFF"/>
        </w:rPr>
        <w:t>3</w:t>
      </w:r>
    </w:p>
  </w:footnote>
  <w:footnote w:id="17">
    <w:p w14:paraId="00E5A192" w14:textId="18B40B39" w:rsidR="00AD1312" w:rsidRPr="00137405" w:rsidRDefault="00AD1312" w:rsidP="00137405">
      <w:pPr>
        <w:rPr>
          <w:sz w:val="20"/>
          <w:szCs w:val="20"/>
          <w:lang w:val="en-AU"/>
        </w:rPr>
      </w:pPr>
      <w:r w:rsidRPr="00137405">
        <w:rPr>
          <w:rStyle w:val="FootnoteReference"/>
          <w:sz w:val="20"/>
          <w:szCs w:val="20"/>
        </w:rPr>
        <w:footnoteRef/>
      </w:r>
      <w:r w:rsidRPr="00137405">
        <w:rPr>
          <w:sz w:val="20"/>
          <w:szCs w:val="20"/>
        </w:rPr>
        <w:t xml:space="preserve"> </w:t>
      </w:r>
      <w:r w:rsidRPr="00137405">
        <w:rPr>
          <w:sz w:val="20"/>
          <w:szCs w:val="20"/>
          <w:lang w:val="en-AU"/>
        </w:rPr>
        <w:t>Forster, W., Barraclough</w:t>
      </w:r>
      <w:r w:rsidR="00197BEB" w:rsidRPr="00137405">
        <w:rPr>
          <w:sz w:val="20"/>
          <w:szCs w:val="20"/>
          <w:lang w:val="en-AU"/>
        </w:rPr>
        <w:t xml:space="preserve">, T., &amp; Barnes, C. (2021) </w:t>
      </w:r>
      <w:r w:rsidR="00197BEB" w:rsidRPr="00AA67C8">
        <w:rPr>
          <w:i/>
          <w:iCs/>
          <w:sz w:val="20"/>
          <w:szCs w:val="20"/>
          <w:lang w:val="en-AU"/>
        </w:rPr>
        <w:t>Making New Zealand Accessible: A Design for Effective Disability Legislation</w:t>
      </w:r>
      <w:r w:rsidR="00197BEB" w:rsidRPr="00137405">
        <w:rPr>
          <w:sz w:val="20"/>
          <w:szCs w:val="20"/>
          <w:lang w:val="en-AU"/>
        </w:rPr>
        <w:t xml:space="preserve">. </w:t>
      </w:r>
      <w:r w:rsidR="00137405" w:rsidRPr="00AA67C8">
        <w:rPr>
          <w:sz w:val="20"/>
          <w:szCs w:val="20"/>
          <w:u w:val="single"/>
          <w:lang w:val="en-AU"/>
        </w:rPr>
        <w:t>https://www.lawfoundation.org.nz/wp-content/uploads/2021/09/2019.46.14.Making-Aotearoa-New-Zealand-Accessible-Report-30-Sep-2021.pdf</w:t>
      </w:r>
    </w:p>
  </w:footnote>
  <w:footnote w:id="18">
    <w:p w14:paraId="438F3AF7" w14:textId="01A64869" w:rsidR="00435752" w:rsidRPr="00435752" w:rsidRDefault="00435752">
      <w:pPr>
        <w:pStyle w:val="FootnoteText"/>
        <w:rPr>
          <w:lang w:val="en-AU"/>
        </w:rPr>
      </w:pPr>
      <w:r w:rsidRPr="00137405">
        <w:rPr>
          <w:rStyle w:val="FootnoteReference"/>
        </w:rPr>
        <w:footnoteRef/>
      </w:r>
      <w:r w:rsidRPr="00137405">
        <w:t xml:space="preserve"> </w:t>
      </w:r>
      <w:r w:rsidRPr="00137405">
        <w:rPr>
          <w:lang w:val="en-AU"/>
        </w:rPr>
        <w:t>I</w:t>
      </w:r>
      <w:r w:rsidR="00976091">
        <w:rPr>
          <w:lang w:val="en-AU"/>
        </w:rPr>
        <w:t>bid at</w:t>
      </w:r>
      <w:r w:rsidRPr="00137405">
        <w:rPr>
          <w:lang w:val="en-AU"/>
        </w:rPr>
        <w:t xml:space="preserve"> 30</w:t>
      </w:r>
    </w:p>
  </w:footnote>
  <w:footnote w:id="19">
    <w:p w14:paraId="709530AC" w14:textId="7097C1A2" w:rsidR="004F0B9F" w:rsidRPr="0082170A" w:rsidRDefault="004F0B9F" w:rsidP="004F0B9F">
      <w:pPr>
        <w:pStyle w:val="FootnoteText"/>
        <w:rPr>
          <w:lang w:val="en-AU"/>
        </w:rPr>
      </w:pPr>
      <w:r>
        <w:rPr>
          <w:rStyle w:val="FootnoteReference"/>
        </w:rPr>
        <w:footnoteRef/>
      </w:r>
      <w:r>
        <w:t xml:space="preserve"> </w:t>
      </w:r>
      <w:r>
        <w:rPr>
          <w:lang w:val="en-AU"/>
        </w:rPr>
        <w:t>Cabinet Paper</w:t>
      </w:r>
      <w:r w:rsidR="00031D54">
        <w:rPr>
          <w:lang w:val="en-AU"/>
        </w:rPr>
        <w:t xml:space="preserve"> </w:t>
      </w:r>
      <w:r w:rsidR="00031D54">
        <w:rPr>
          <w:rFonts w:cstheme="minorHAnsi"/>
        </w:rPr>
        <w:t>(n 4)</w:t>
      </w:r>
    </w:p>
  </w:footnote>
  <w:footnote w:id="20">
    <w:p w14:paraId="30217186" w14:textId="7C6914EF" w:rsidR="00E86605" w:rsidRPr="00E86605" w:rsidRDefault="00E86605">
      <w:pPr>
        <w:pStyle w:val="FootnoteText"/>
        <w:rPr>
          <w:lang w:val="en-US"/>
        </w:rPr>
      </w:pPr>
      <w:r>
        <w:rPr>
          <w:rStyle w:val="FootnoteReference"/>
        </w:rPr>
        <w:footnoteRef/>
      </w:r>
      <w:r>
        <w:t xml:space="preserve"> </w:t>
      </w:r>
      <w:r>
        <w:rPr>
          <w:lang w:val="en-US"/>
        </w:rPr>
        <w:t xml:space="preserve">RIS </w:t>
      </w:r>
      <w:r w:rsidR="00031D54">
        <w:rPr>
          <w:lang w:val="en-US"/>
        </w:rPr>
        <w:t xml:space="preserve">(n 2) </w:t>
      </w:r>
      <w:r w:rsidR="00976091">
        <w:rPr>
          <w:lang w:val="en-US"/>
        </w:rPr>
        <w:t xml:space="preserve">at </w:t>
      </w:r>
      <w:r>
        <w:rPr>
          <w:lang w:val="en-US"/>
        </w:rPr>
        <w:t>25</w:t>
      </w:r>
    </w:p>
  </w:footnote>
  <w:footnote w:id="21">
    <w:p w14:paraId="7011BCDB" w14:textId="078628F1" w:rsidR="00377755" w:rsidRPr="00377755" w:rsidRDefault="00377755">
      <w:pPr>
        <w:pStyle w:val="FootnoteText"/>
        <w:rPr>
          <w:lang w:val="mi-NZ"/>
        </w:rPr>
      </w:pPr>
      <w:r>
        <w:rPr>
          <w:rStyle w:val="FootnoteReference"/>
        </w:rPr>
        <w:footnoteRef/>
      </w:r>
      <w:r>
        <w:t xml:space="preserve"> </w:t>
      </w:r>
      <w:r>
        <w:rPr>
          <w:lang w:val="mi-NZ"/>
        </w:rPr>
        <w:t>RIS (n 2) at 7</w:t>
      </w:r>
    </w:p>
  </w:footnote>
  <w:footnote w:id="22">
    <w:p w14:paraId="46353E93" w14:textId="455108E0" w:rsidR="002C3163" w:rsidRPr="002C3163" w:rsidRDefault="002C3163">
      <w:pPr>
        <w:pStyle w:val="FootnoteText"/>
        <w:rPr>
          <w:lang w:val="en-US"/>
        </w:rPr>
      </w:pPr>
      <w:r>
        <w:rPr>
          <w:rStyle w:val="FootnoteReference"/>
        </w:rPr>
        <w:footnoteRef/>
      </w:r>
      <w:r>
        <w:t xml:space="preserve"> </w:t>
      </w:r>
      <w:r>
        <w:rPr>
          <w:lang w:val="en-US"/>
        </w:rPr>
        <w:t xml:space="preserve">RIS </w:t>
      </w:r>
      <w:r w:rsidR="00031D54">
        <w:rPr>
          <w:lang w:val="en-US"/>
        </w:rPr>
        <w:t xml:space="preserve">(n 2) </w:t>
      </w:r>
      <w:r w:rsidR="00976091">
        <w:rPr>
          <w:lang w:val="en-US"/>
        </w:rPr>
        <w:t xml:space="preserve">at </w:t>
      </w:r>
      <w:r>
        <w:rPr>
          <w:lang w:val="en-US"/>
        </w:rPr>
        <w:t>3</w:t>
      </w:r>
    </w:p>
  </w:footnote>
  <w:footnote w:id="23">
    <w:p w14:paraId="7D0F6B82" w14:textId="143BEF19" w:rsidR="009273DF" w:rsidRPr="00B574C9" w:rsidRDefault="009273DF" w:rsidP="009273DF">
      <w:pPr>
        <w:pStyle w:val="FootnoteText"/>
        <w:rPr>
          <w:lang w:val="en-US"/>
        </w:rPr>
      </w:pPr>
      <w:r>
        <w:rPr>
          <w:rStyle w:val="FootnoteReference"/>
        </w:rPr>
        <w:footnoteRef/>
      </w:r>
      <w:r>
        <w:t xml:space="preserve"> </w:t>
      </w:r>
      <w:r>
        <w:rPr>
          <w:lang w:val="en-US"/>
        </w:rPr>
        <w:t>RIS</w:t>
      </w:r>
      <w:r w:rsidR="00031D54">
        <w:rPr>
          <w:lang w:val="en-US"/>
        </w:rPr>
        <w:t xml:space="preserve"> (n 2)</w:t>
      </w:r>
      <w:r>
        <w:rPr>
          <w:lang w:val="en-US"/>
        </w:rPr>
        <w:t xml:space="preserve"> </w:t>
      </w:r>
      <w:r w:rsidR="00976091">
        <w:rPr>
          <w:lang w:val="en-US"/>
        </w:rPr>
        <w:t xml:space="preserve">at </w:t>
      </w:r>
      <w:r>
        <w:rPr>
          <w:lang w:val="en-US"/>
        </w:rPr>
        <w:t>30</w:t>
      </w:r>
    </w:p>
  </w:footnote>
  <w:footnote w:id="24">
    <w:p w14:paraId="0D4DBFA3" w14:textId="0B54D1CB" w:rsidR="001F5DEF" w:rsidRPr="001F5DEF" w:rsidRDefault="001F5DEF">
      <w:pPr>
        <w:pStyle w:val="FootnoteText"/>
        <w:rPr>
          <w:lang w:val="en-US"/>
        </w:rPr>
      </w:pPr>
      <w:r>
        <w:rPr>
          <w:rStyle w:val="FootnoteReference"/>
        </w:rPr>
        <w:footnoteRef/>
      </w:r>
      <w:r>
        <w:t xml:space="preserve"> </w:t>
      </w:r>
      <w:r w:rsidR="00DD5753">
        <w:t xml:space="preserve">RIS </w:t>
      </w:r>
      <w:r w:rsidR="00031D54">
        <w:rPr>
          <w:lang w:val="en-US"/>
        </w:rPr>
        <w:t xml:space="preserve">(n 2) </w:t>
      </w:r>
      <w:r w:rsidR="00976091">
        <w:t xml:space="preserve">at </w:t>
      </w:r>
      <w:r w:rsidR="00DD5753">
        <w:t>4</w:t>
      </w:r>
    </w:p>
  </w:footnote>
  <w:footnote w:id="25">
    <w:p w14:paraId="79C22A09" w14:textId="44392CEE" w:rsidR="006E2271" w:rsidRPr="006E2271" w:rsidRDefault="006E2271">
      <w:pPr>
        <w:pStyle w:val="FootnoteText"/>
        <w:rPr>
          <w:lang w:val="en-US"/>
        </w:rPr>
      </w:pPr>
      <w:r>
        <w:rPr>
          <w:rStyle w:val="FootnoteReference"/>
        </w:rPr>
        <w:footnoteRef/>
      </w:r>
      <w:r>
        <w:t xml:space="preserve"> RIS </w:t>
      </w:r>
      <w:r w:rsidR="00031D54">
        <w:rPr>
          <w:lang w:val="en-US"/>
        </w:rPr>
        <w:t xml:space="preserve">(n 2) </w:t>
      </w:r>
      <w:r w:rsidR="00976091">
        <w:t xml:space="preserve">at </w:t>
      </w:r>
      <w:r>
        <w:t>31</w:t>
      </w:r>
    </w:p>
  </w:footnote>
  <w:footnote w:id="26">
    <w:p w14:paraId="0087ADB1" w14:textId="0A03188E" w:rsidR="00DC62C3" w:rsidRPr="00DC62C3" w:rsidRDefault="00DC62C3">
      <w:pPr>
        <w:pStyle w:val="FootnoteText"/>
        <w:rPr>
          <w:lang w:val="en-US"/>
        </w:rPr>
      </w:pPr>
      <w:r>
        <w:rPr>
          <w:rStyle w:val="FootnoteReference"/>
        </w:rPr>
        <w:footnoteRef/>
      </w:r>
      <w:r>
        <w:t xml:space="preserve"> </w:t>
      </w:r>
      <w:r>
        <w:rPr>
          <w:lang w:val="en-US"/>
        </w:rPr>
        <w:t xml:space="preserve">RIS </w:t>
      </w:r>
      <w:r w:rsidR="00031D54">
        <w:rPr>
          <w:lang w:val="en-US"/>
        </w:rPr>
        <w:t xml:space="preserve">(n 2) </w:t>
      </w:r>
      <w:r w:rsidR="00976091">
        <w:rPr>
          <w:lang w:val="en-US"/>
        </w:rPr>
        <w:t xml:space="preserve">at </w:t>
      </w:r>
      <w:r>
        <w:rPr>
          <w:lang w:val="en-US"/>
        </w:rPr>
        <w:t>27</w:t>
      </w:r>
    </w:p>
  </w:footnote>
  <w:footnote w:id="27">
    <w:p w14:paraId="3202D5F7" w14:textId="2C4FD9A2" w:rsidR="00A77265" w:rsidRPr="00A77265" w:rsidRDefault="00A77265">
      <w:pPr>
        <w:pStyle w:val="FootnoteText"/>
        <w:rPr>
          <w:lang w:val="en-US"/>
        </w:rPr>
      </w:pPr>
      <w:r>
        <w:rPr>
          <w:rStyle w:val="FootnoteReference"/>
        </w:rPr>
        <w:footnoteRef/>
      </w:r>
      <w:r>
        <w:t xml:space="preserve"> </w:t>
      </w:r>
      <w:r>
        <w:rPr>
          <w:lang w:val="en-US"/>
        </w:rPr>
        <w:t>Titles for the Ministry</w:t>
      </w:r>
      <w:r w:rsidR="007F4154">
        <w:rPr>
          <w:lang w:val="en-US"/>
        </w:rPr>
        <w:t xml:space="preserve">, </w:t>
      </w:r>
      <w:r w:rsidR="00DB18EE">
        <w:rPr>
          <w:lang w:val="en-US"/>
        </w:rPr>
        <w:t>Minister</w:t>
      </w:r>
      <w:r>
        <w:rPr>
          <w:lang w:val="en-US"/>
        </w:rPr>
        <w:t xml:space="preserve"> and the Board are yet to be finalised. </w:t>
      </w:r>
    </w:p>
  </w:footnote>
  <w:footnote w:id="28">
    <w:p w14:paraId="4A86791E" w14:textId="20502BE9" w:rsidR="00773C18" w:rsidRPr="00773C18" w:rsidRDefault="00773C18">
      <w:pPr>
        <w:pStyle w:val="FootnoteText"/>
        <w:rPr>
          <w:lang w:val="en-AU"/>
        </w:rPr>
      </w:pPr>
      <w:r>
        <w:rPr>
          <w:rStyle w:val="FootnoteReference"/>
        </w:rPr>
        <w:footnoteRef/>
      </w:r>
      <w:r>
        <w:t xml:space="preserve"> </w:t>
      </w:r>
      <w:r>
        <w:rPr>
          <w:lang w:val="en-AU"/>
        </w:rPr>
        <w:t xml:space="preserve">RIS </w:t>
      </w:r>
      <w:r w:rsidR="00031D54">
        <w:rPr>
          <w:lang w:val="en-US"/>
        </w:rPr>
        <w:t xml:space="preserve">(n 2) </w:t>
      </w:r>
      <w:r w:rsidR="00976091">
        <w:rPr>
          <w:lang w:val="en-AU"/>
        </w:rPr>
        <w:t xml:space="preserve">at </w:t>
      </w:r>
      <w:r>
        <w:rPr>
          <w:lang w:val="en-AU"/>
        </w:rPr>
        <w:t>38</w:t>
      </w:r>
    </w:p>
  </w:footnote>
  <w:footnote w:id="29">
    <w:p w14:paraId="3401BEAE" w14:textId="5C1A86C0" w:rsidR="00866834" w:rsidRPr="00866834" w:rsidRDefault="00866834">
      <w:pPr>
        <w:pStyle w:val="FootnoteText"/>
        <w:rPr>
          <w:lang w:val="en-AU"/>
        </w:rPr>
      </w:pPr>
      <w:r>
        <w:rPr>
          <w:rStyle w:val="FootnoteReference"/>
        </w:rPr>
        <w:footnoteRef/>
      </w:r>
      <w:r>
        <w:t xml:space="preserve"> </w:t>
      </w:r>
      <w:r>
        <w:rPr>
          <w:lang w:val="en-AU"/>
        </w:rPr>
        <w:t xml:space="preserve">RIS </w:t>
      </w:r>
      <w:r w:rsidR="00031D54">
        <w:rPr>
          <w:lang w:val="en-US"/>
        </w:rPr>
        <w:t xml:space="preserve">(n 2) </w:t>
      </w:r>
      <w:r w:rsidR="00976091">
        <w:rPr>
          <w:lang w:val="en-AU"/>
        </w:rPr>
        <w:t xml:space="preserve">at </w:t>
      </w:r>
      <w:r>
        <w:rPr>
          <w:lang w:val="en-AU"/>
        </w:rPr>
        <w:t>53</w:t>
      </w:r>
    </w:p>
  </w:footnote>
  <w:footnote w:id="30">
    <w:p w14:paraId="27068C5C" w14:textId="6AD58EF8" w:rsidR="0042046D" w:rsidRPr="00601CA3" w:rsidRDefault="00601CA3">
      <w:pPr>
        <w:pStyle w:val="FootnoteText"/>
        <w:rPr>
          <w:lang w:val="en-AU"/>
        </w:rPr>
      </w:pPr>
      <w:r>
        <w:rPr>
          <w:rStyle w:val="FootnoteReference"/>
        </w:rPr>
        <w:footnoteRef/>
      </w:r>
      <w:r>
        <w:t xml:space="preserve"> </w:t>
      </w:r>
      <w:r w:rsidR="0042046D">
        <w:rPr>
          <w:lang w:val="en-AU"/>
        </w:rPr>
        <w:t xml:space="preserve">New Zealand Disability Support Network. (2021) Feedback on the </w:t>
      </w:r>
      <w:r w:rsidR="0042046D" w:rsidRPr="00FE4B2A">
        <w:rPr>
          <w:i/>
          <w:iCs/>
          <w:lang w:val="en-AU"/>
        </w:rPr>
        <w:t xml:space="preserve">Accelerating Accessibility </w:t>
      </w:r>
      <w:r w:rsidR="0042046D">
        <w:rPr>
          <w:i/>
          <w:iCs/>
          <w:lang w:val="en-AU"/>
        </w:rPr>
        <w:t xml:space="preserve">Discussion Paper </w:t>
      </w:r>
      <w:r w:rsidR="0042046D" w:rsidRPr="00FE4B2A">
        <w:rPr>
          <w:i/>
          <w:iCs/>
          <w:lang w:val="en-AU"/>
        </w:rPr>
        <w:t>– Questions</w:t>
      </w:r>
      <w:r w:rsidR="0042046D">
        <w:rPr>
          <w:lang w:val="en-AU"/>
        </w:rPr>
        <w:t xml:space="preserve">. </w:t>
      </w:r>
      <w:r w:rsidR="0042046D" w:rsidRPr="00976091">
        <w:rPr>
          <w:u w:val="single"/>
          <w:lang w:val="en-AU"/>
        </w:rPr>
        <w:t>https://nzdsn.org.nz/wp-content/uploads/2022/01/20220131-NZDSN-Feedback-on-Accelerating-Accessibility-Discussion-Paper-December-2021.pdf</w:t>
      </w:r>
    </w:p>
  </w:footnote>
  <w:footnote w:id="31">
    <w:p w14:paraId="52C2A7D3" w14:textId="57C6E6F6" w:rsidR="00C14EF1" w:rsidRPr="00C14EF1" w:rsidRDefault="00C14EF1">
      <w:pPr>
        <w:pStyle w:val="FootnoteText"/>
        <w:rPr>
          <w:lang w:val="en-AU"/>
        </w:rPr>
      </w:pPr>
      <w:r>
        <w:rPr>
          <w:rStyle w:val="FootnoteReference"/>
        </w:rPr>
        <w:footnoteRef/>
      </w:r>
      <w:r>
        <w:t xml:space="preserve"> </w:t>
      </w:r>
      <w:r w:rsidR="00976091">
        <w:rPr>
          <w:lang w:val="en-AU"/>
        </w:rPr>
        <w:t xml:space="preserve">Ibid at </w:t>
      </w:r>
      <w:r>
        <w:rPr>
          <w:lang w:val="en-AU"/>
        </w:rPr>
        <w:t>3</w:t>
      </w:r>
    </w:p>
  </w:footnote>
  <w:footnote w:id="32">
    <w:p w14:paraId="7537F26D" w14:textId="2F8289AB" w:rsidR="008524CA" w:rsidRPr="008524CA" w:rsidRDefault="008524CA">
      <w:pPr>
        <w:pStyle w:val="FootnoteText"/>
        <w:rPr>
          <w:lang w:val="en-AU"/>
        </w:rPr>
      </w:pPr>
      <w:r>
        <w:rPr>
          <w:rStyle w:val="FootnoteReference"/>
        </w:rPr>
        <w:footnoteRef/>
      </w:r>
      <w:r>
        <w:t xml:space="preserve"> </w:t>
      </w:r>
      <w:r>
        <w:rPr>
          <w:lang w:val="en-AU"/>
        </w:rPr>
        <w:t xml:space="preserve">Cabinet Paper </w:t>
      </w:r>
      <w:r w:rsidR="00031D54">
        <w:rPr>
          <w:rFonts w:cstheme="minorHAnsi"/>
        </w:rPr>
        <w:t xml:space="preserve">(n 4) </w:t>
      </w:r>
      <w:r w:rsidR="00976091">
        <w:rPr>
          <w:lang w:val="en-AU"/>
        </w:rPr>
        <w:t xml:space="preserve">at </w:t>
      </w:r>
      <w:r>
        <w:rPr>
          <w:lang w:val="en-AU"/>
        </w:rPr>
        <w:t>5</w:t>
      </w:r>
    </w:p>
  </w:footnote>
  <w:footnote w:id="33">
    <w:p w14:paraId="77AA38AC" w14:textId="5203C2E7" w:rsidR="00681D43" w:rsidRPr="00681D43" w:rsidRDefault="00681D43">
      <w:pPr>
        <w:pStyle w:val="FootnoteText"/>
        <w:rPr>
          <w:lang w:val="en-AU"/>
        </w:rPr>
      </w:pPr>
      <w:r>
        <w:rPr>
          <w:rStyle w:val="FootnoteReference"/>
        </w:rPr>
        <w:footnoteRef/>
      </w:r>
      <w:r>
        <w:t xml:space="preserve"> </w:t>
      </w:r>
      <w:r>
        <w:rPr>
          <w:lang w:val="en-AU"/>
        </w:rPr>
        <w:t xml:space="preserve">Cabinet Paper </w:t>
      </w:r>
      <w:r w:rsidR="00031D54">
        <w:rPr>
          <w:rFonts w:cstheme="minorHAnsi"/>
        </w:rPr>
        <w:t xml:space="preserve">(n 4) </w:t>
      </w:r>
      <w:r w:rsidR="00976091">
        <w:rPr>
          <w:lang w:val="en-AU"/>
        </w:rPr>
        <w:t xml:space="preserve">at </w:t>
      </w:r>
      <w:r>
        <w:rPr>
          <w:lang w:val="en-AU"/>
        </w:rPr>
        <w:t>13</w:t>
      </w:r>
    </w:p>
  </w:footnote>
  <w:footnote w:id="34">
    <w:p w14:paraId="72BE6FF8" w14:textId="6FE85138" w:rsidR="001875E3" w:rsidRPr="006571C8" w:rsidRDefault="001875E3" w:rsidP="001875E3">
      <w:pPr>
        <w:pStyle w:val="FootnoteText"/>
        <w:rPr>
          <w:lang w:val="en-AU"/>
        </w:rPr>
      </w:pPr>
      <w:r>
        <w:rPr>
          <w:rStyle w:val="FootnoteReference"/>
        </w:rPr>
        <w:footnoteRef/>
      </w:r>
      <w:r>
        <w:t xml:space="preserve"> </w:t>
      </w:r>
      <w:r w:rsidR="00976091" w:rsidRPr="00137405">
        <w:rPr>
          <w:lang w:val="en-US"/>
        </w:rPr>
        <w:t>Access Alliance</w:t>
      </w:r>
      <w:r w:rsidR="00F12FAB">
        <w:rPr>
          <w:lang w:val="en-US"/>
        </w:rPr>
        <w:t xml:space="preserve"> (n 11)</w:t>
      </w:r>
    </w:p>
  </w:footnote>
  <w:footnote w:id="35">
    <w:p w14:paraId="15E07BAB" w14:textId="15519ABF" w:rsidR="00FD73D1" w:rsidRPr="006F3FD4" w:rsidRDefault="00FD73D1" w:rsidP="00FD73D1">
      <w:pPr>
        <w:pStyle w:val="FootnoteText"/>
        <w:rPr>
          <w:lang w:val="en-AU"/>
        </w:rPr>
      </w:pPr>
      <w:r>
        <w:rPr>
          <w:rStyle w:val="FootnoteReference"/>
        </w:rPr>
        <w:footnoteRef/>
      </w:r>
      <w:r>
        <w:t xml:space="preserve"> </w:t>
      </w:r>
      <w:r>
        <w:rPr>
          <w:lang w:val="en-AU"/>
        </w:rPr>
        <w:t xml:space="preserve">Cabinet Paper </w:t>
      </w:r>
      <w:r w:rsidR="00031D54">
        <w:rPr>
          <w:rFonts w:cstheme="minorHAnsi"/>
        </w:rPr>
        <w:t xml:space="preserve">(n 4) </w:t>
      </w:r>
      <w:r w:rsidR="00976091">
        <w:rPr>
          <w:lang w:val="en-AU"/>
        </w:rPr>
        <w:t xml:space="preserve">at </w:t>
      </w:r>
      <w:r>
        <w:rPr>
          <w:lang w:val="en-AU"/>
        </w:rPr>
        <w:t>13</w:t>
      </w:r>
    </w:p>
  </w:footnote>
  <w:footnote w:id="36">
    <w:p w14:paraId="2DEFF796" w14:textId="04E13C79" w:rsidR="00FD73D1" w:rsidRPr="00FD73D1" w:rsidRDefault="00FD73D1">
      <w:pPr>
        <w:pStyle w:val="FootnoteText"/>
        <w:rPr>
          <w:lang w:val="en-AU"/>
        </w:rPr>
      </w:pPr>
      <w:r>
        <w:rPr>
          <w:rStyle w:val="FootnoteReference"/>
        </w:rPr>
        <w:footnoteRef/>
      </w:r>
      <w:r>
        <w:t xml:space="preserve"> </w:t>
      </w:r>
      <w:r w:rsidR="00E41554">
        <w:rPr>
          <w:lang w:val="en-AU"/>
        </w:rPr>
        <w:t xml:space="preserve">Cabinet Paper </w:t>
      </w:r>
      <w:r w:rsidR="00031D54">
        <w:rPr>
          <w:rFonts w:cstheme="minorHAnsi"/>
        </w:rPr>
        <w:t xml:space="preserve">(n 4) </w:t>
      </w:r>
      <w:r w:rsidR="00976091">
        <w:rPr>
          <w:lang w:val="en-AU"/>
        </w:rPr>
        <w:t xml:space="preserve">at </w:t>
      </w:r>
      <w:r w:rsidR="00E41554">
        <w:rPr>
          <w:lang w:val="en-AU"/>
        </w:rPr>
        <w:t>11</w:t>
      </w:r>
    </w:p>
  </w:footnote>
  <w:footnote w:id="37">
    <w:p w14:paraId="3D5B62FA" w14:textId="2FCB3A80" w:rsidR="008D3A9E" w:rsidRPr="0007671C" w:rsidRDefault="008D3A9E" w:rsidP="008D3A9E">
      <w:pPr>
        <w:pStyle w:val="FootnoteText"/>
        <w:rPr>
          <w:lang w:val="en-AU"/>
        </w:rPr>
      </w:pPr>
      <w:r>
        <w:rPr>
          <w:rStyle w:val="FootnoteReference"/>
        </w:rPr>
        <w:footnoteRef/>
      </w:r>
      <w:r>
        <w:t xml:space="preserve"> </w:t>
      </w:r>
      <w:r>
        <w:rPr>
          <w:lang w:val="en-AU"/>
        </w:rPr>
        <w:t>Health and Disability Commissioner Act 1994,</w:t>
      </w:r>
      <w:r w:rsidR="00976091">
        <w:rPr>
          <w:lang w:val="en-AU"/>
        </w:rPr>
        <w:t xml:space="preserve"> s 14(1)(</w:t>
      </w:r>
      <w:r w:rsidR="00F12FAB">
        <w:rPr>
          <w:lang w:val="en-AU"/>
        </w:rPr>
        <w:t>e) and</w:t>
      </w:r>
      <w:r w:rsidR="00976091">
        <w:rPr>
          <w:lang w:val="en-AU"/>
        </w:rPr>
        <w:t xml:space="preserve"> </w:t>
      </w:r>
      <w:r>
        <w:rPr>
          <w:lang w:val="en-AU"/>
        </w:rPr>
        <w:t>Privacy Acy 2020</w:t>
      </w:r>
      <w:r w:rsidR="00976091">
        <w:rPr>
          <w:lang w:val="en-AU"/>
        </w:rPr>
        <w:t xml:space="preserve">, </w:t>
      </w:r>
      <w:r w:rsidR="00976091">
        <w:t xml:space="preserve">s 17(1)(i) </w:t>
      </w:r>
      <w:r>
        <w:rPr>
          <w:lang w:val="en-AU"/>
        </w:rPr>
        <w:t xml:space="preserve"> </w:t>
      </w:r>
    </w:p>
  </w:footnote>
  <w:footnote w:id="38">
    <w:p w14:paraId="73507383" w14:textId="578F230B" w:rsidR="00A14756" w:rsidRPr="00A14756" w:rsidRDefault="00A14756">
      <w:pPr>
        <w:pStyle w:val="FootnoteText"/>
        <w:rPr>
          <w:lang w:val="en-AU"/>
        </w:rPr>
      </w:pPr>
      <w:r>
        <w:rPr>
          <w:rStyle w:val="FootnoteReference"/>
        </w:rPr>
        <w:footnoteRef/>
      </w:r>
      <w:r>
        <w:t xml:space="preserve"> </w:t>
      </w:r>
      <w:r>
        <w:rPr>
          <w:lang w:val="en-AU"/>
        </w:rPr>
        <w:t>Privacy Act 2020,</w:t>
      </w:r>
      <w:r w:rsidR="00976091">
        <w:rPr>
          <w:lang w:val="en-AU"/>
        </w:rPr>
        <w:t xml:space="preserve"> s 87 and </w:t>
      </w:r>
      <w:r>
        <w:rPr>
          <w:lang w:val="en-AU"/>
        </w:rPr>
        <w:t>Health and Disability Commissioner Act 1994</w:t>
      </w:r>
      <w:r w:rsidR="00976091">
        <w:rPr>
          <w:lang w:val="en-AU"/>
        </w:rPr>
        <w:t>, s62</w:t>
      </w:r>
    </w:p>
  </w:footnote>
  <w:footnote w:id="39">
    <w:p w14:paraId="6FEB76AB" w14:textId="22F86CBA" w:rsidR="00BA2285" w:rsidRPr="00BA2285" w:rsidRDefault="00BA2285">
      <w:pPr>
        <w:pStyle w:val="FootnoteText"/>
        <w:rPr>
          <w:lang w:val="en-AU"/>
        </w:rPr>
      </w:pPr>
      <w:r>
        <w:rPr>
          <w:rStyle w:val="FootnoteReference"/>
        </w:rPr>
        <w:footnoteRef/>
      </w:r>
      <w:r>
        <w:t xml:space="preserve"> </w:t>
      </w:r>
      <w:r>
        <w:rPr>
          <w:lang w:val="en-AU"/>
        </w:rPr>
        <w:t>NZDSN</w:t>
      </w:r>
      <w:r w:rsidR="00F12FAB">
        <w:rPr>
          <w:lang w:val="en-AU"/>
        </w:rPr>
        <w:t xml:space="preserve"> (n 25) at </w:t>
      </w:r>
      <w:r>
        <w:rPr>
          <w:lang w:val="en-AU"/>
        </w:rPr>
        <w:t>3</w:t>
      </w:r>
    </w:p>
  </w:footnote>
  <w:footnote w:id="40">
    <w:p w14:paraId="7A62D769" w14:textId="1FFD156E" w:rsidR="00576C08" w:rsidRPr="00576C08" w:rsidRDefault="00576C08">
      <w:pPr>
        <w:pStyle w:val="FootnoteText"/>
        <w:rPr>
          <w:lang w:val="en-AU"/>
        </w:rPr>
      </w:pPr>
      <w:r>
        <w:rPr>
          <w:rStyle w:val="FootnoteReference"/>
        </w:rPr>
        <w:footnoteRef/>
      </w:r>
      <w:r>
        <w:t xml:space="preserve"> </w:t>
      </w:r>
      <w:r>
        <w:rPr>
          <w:lang w:val="en-AU"/>
        </w:rPr>
        <w:t xml:space="preserve">Cabinet Paper </w:t>
      </w:r>
      <w:r w:rsidR="00031D54">
        <w:rPr>
          <w:rFonts w:cstheme="minorHAnsi"/>
        </w:rPr>
        <w:t xml:space="preserve">(n 4) </w:t>
      </w:r>
      <w:r w:rsidR="00F12FAB">
        <w:rPr>
          <w:lang w:val="en-AU"/>
        </w:rPr>
        <w:t xml:space="preserve">at </w:t>
      </w:r>
      <w:r>
        <w:rPr>
          <w:lang w:val="en-AU"/>
        </w:rPr>
        <w:t>5</w:t>
      </w:r>
    </w:p>
  </w:footnote>
  <w:footnote w:id="41">
    <w:p w14:paraId="7723D24C" w14:textId="7E22CA8A" w:rsidR="009E541D" w:rsidRPr="009E541D" w:rsidRDefault="009E541D">
      <w:pPr>
        <w:pStyle w:val="FootnoteText"/>
        <w:rPr>
          <w:lang w:val="en-AU"/>
        </w:rPr>
      </w:pPr>
      <w:r>
        <w:rPr>
          <w:rStyle w:val="FootnoteReference"/>
        </w:rPr>
        <w:footnoteRef/>
      </w:r>
      <w:r>
        <w:t xml:space="preserve"> </w:t>
      </w:r>
      <w:r w:rsidR="00F12FAB">
        <w:t xml:space="preserve">Forster (n 13) at </w:t>
      </w:r>
      <w:r>
        <w:rPr>
          <w:lang w:val="en-AU"/>
        </w:rPr>
        <w:t xml:space="preserve">96. </w:t>
      </w:r>
    </w:p>
  </w:footnote>
  <w:footnote w:id="42">
    <w:p w14:paraId="15BD412C" w14:textId="6E1C90F1" w:rsidR="007F796B" w:rsidRPr="007F796B" w:rsidRDefault="007F796B">
      <w:pPr>
        <w:pStyle w:val="FootnoteText"/>
        <w:rPr>
          <w:lang w:val="en-AU"/>
        </w:rPr>
      </w:pPr>
      <w:r>
        <w:rPr>
          <w:rStyle w:val="FootnoteReference"/>
        </w:rPr>
        <w:footnoteRef/>
      </w:r>
      <w:r>
        <w:t xml:space="preserve"> </w:t>
      </w:r>
      <w:r>
        <w:rPr>
          <w:lang w:val="en-AU"/>
        </w:rPr>
        <w:t>For example, the long lead-in times for the Residential Tenancies (Healthy Homes Standards) Regulations 2019</w:t>
      </w:r>
    </w:p>
  </w:footnote>
  <w:footnote w:id="43">
    <w:p w14:paraId="4EB35978" w14:textId="38548976" w:rsidR="00A73148" w:rsidRPr="00A73148" w:rsidRDefault="00A73148">
      <w:pPr>
        <w:pStyle w:val="FootnoteText"/>
        <w:rPr>
          <w:lang w:val="en-AU"/>
        </w:rPr>
      </w:pPr>
      <w:r>
        <w:rPr>
          <w:rStyle w:val="FootnoteReference"/>
        </w:rPr>
        <w:footnoteRef/>
      </w:r>
      <w:r>
        <w:t xml:space="preserve"> </w:t>
      </w:r>
      <w:r w:rsidR="004F2B67">
        <w:t xml:space="preserve">NZDSN </w:t>
      </w:r>
      <w:r w:rsidR="00F12FAB">
        <w:t>(n 25) at</w:t>
      </w:r>
      <w:r w:rsidR="004F2B67">
        <w:t xml:space="preserve"> 3</w:t>
      </w:r>
    </w:p>
  </w:footnote>
  <w:footnote w:id="44">
    <w:p w14:paraId="1EE00691" w14:textId="7074241B" w:rsidR="009F2061" w:rsidRPr="009F2061" w:rsidRDefault="009F2061">
      <w:pPr>
        <w:pStyle w:val="FootnoteText"/>
        <w:rPr>
          <w:lang w:val="en-AU"/>
        </w:rPr>
      </w:pPr>
      <w:r>
        <w:rPr>
          <w:rStyle w:val="FootnoteReference"/>
        </w:rPr>
        <w:footnoteRef/>
      </w:r>
      <w:r>
        <w:t xml:space="preserve"> </w:t>
      </w:r>
      <w:r>
        <w:rPr>
          <w:lang w:val="en-AU"/>
        </w:rPr>
        <w:t xml:space="preserve">Access Alliance </w:t>
      </w:r>
      <w:r w:rsidR="00F12FAB">
        <w:rPr>
          <w:lang w:val="en-AU"/>
        </w:rPr>
        <w:t>(n 11)</w:t>
      </w:r>
    </w:p>
  </w:footnote>
  <w:footnote w:id="45">
    <w:p w14:paraId="42A56951" w14:textId="6B8EE2DB" w:rsidR="0096173E" w:rsidRPr="0096173E" w:rsidRDefault="0096173E">
      <w:pPr>
        <w:pStyle w:val="FootnoteText"/>
        <w:rPr>
          <w:lang w:val="en-AU"/>
        </w:rPr>
      </w:pPr>
      <w:r>
        <w:rPr>
          <w:rStyle w:val="FootnoteReference"/>
        </w:rPr>
        <w:footnoteRef/>
      </w:r>
      <w:r>
        <w:t xml:space="preserve"> </w:t>
      </w:r>
      <w:r>
        <w:rPr>
          <w:lang w:val="en-AU"/>
        </w:rPr>
        <w:t>Cabinet Paper</w:t>
      </w:r>
      <w:r w:rsidR="00031D54">
        <w:rPr>
          <w:lang w:val="en-AU"/>
        </w:rPr>
        <w:t xml:space="preserve"> </w:t>
      </w:r>
      <w:r w:rsidR="00031D54">
        <w:rPr>
          <w:rFonts w:cstheme="minorHAnsi"/>
        </w:rPr>
        <w:t>(n 4)</w:t>
      </w:r>
      <w:r>
        <w:rPr>
          <w:lang w:val="en-AU"/>
        </w:rPr>
        <w:t xml:space="preserve"> </w:t>
      </w:r>
      <w:r w:rsidR="00F12FAB">
        <w:rPr>
          <w:lang w:val="en-AU"/>
        </w:rPr>
        <w:t>at 3</w:t>
      </w:r>
    </w:p>
  </w:footnote>
  <w:footnote w:id="46">
    <w:p w14:paraId="7345979C" w14:textId="077F8F89" w:rsidR="00B6338A" w:rsidRPr="00B6338A" w:rsidRDefault="00B6338A">
      <w:pPr>
        <w:pStyle w:val="FootnoteText"/>
        <w:rPr>
          <w:lang w:val="en-AU"/>
        </w:rPr>
      </w:pPr>
      <w:r>
        <w:rPr>
          <w:rStyle w:val="FootnoteReference"/>
        </w:rPr>
        <w:footnoteRef/>
      </w:r>
      <w:r>
        <w:t xml:space="preserve"> </w:t>
      </w:r>
      <w:r>
        <w:rPr>
          <w:lang w:val="en-AU"/>
        </w:rPr>
        <w:t>Health and Disability Commissioner Act 1994</w:t>
      </w:r>
      <w:r w:rsidR="00F12FAB">
        <w:rPr>
          <w:lang w:val="en-AU"/>
        </w:rPr>
        <w:t>, s 34</w:t>
      </w:r>
    </w:p>
  </w:footnote>
  <w:footnote w:id="47">
    <w:p w14:paraId="6A83CB22" w14:textId="29F9BDEE" w:rsidR="00B6338A" w:rsidRPr="00B6338A" w:rsidRDefault="00B6338A">
      <w:pPr>
        <w:pStyle w:val="FootnoteText"/>
        <w:rPr>
          <w:lang w:val="en-AU"/>
        </w:rPr>
      </w:pPr>
      <w:r>
        <w:rPr>
          <w:rStyle w:val="FootnoteReference"/>
        </w:rPr>
        <w:footnoteRef/>
      </w:r>
      <w:r w:rsidR="00031D54">
        <w:rPr>
          <w:lang w:val="en-AU"/>
        </w:rPr>
        <w:t xml:space="preserve"> </w:t>
      </w:r>
      <w:r>
        <w:rPr>
          <w:lang w:val="en-AU"/>
        </w:rPr>
        <w:t>Privacy Act 2020</w:t>
      </w:r>
      <w:r w:rsidR="00F12FAB">
        <w:rPr>
          <w:lang w:val="en-AU"/>
        </w:rPr>
        <w:t>, s 77</w:t>
      </w:r>
    </w:p>
  </w:footnote>
  <w:footnote w:id="48">
    <w:p w14:paraId="37FE9ACC" w14:textId="015160C3" w:rsidR="00C54B4A" w:rsidRPr="00C54B4A" w:rsidRDefault="00C54B4A">
      <w:pPr>
        <w:pStyle w:val="FootnoteText"/>
        <w:rPr>
          <w:lang w:val="en-AU"/>
        </w:rPr>
      </w:pPr>
      <w:r>
        <w:rPr>
          <w:rStyle w:val="FootnoteReference"/>
        </w:rPr>
        <w:footnoteRef/>
      </w:r>
      <w:r>
        <w:t xml:space="preserve"> </w:t>
      </w:r>
      <w:r>
        <w:rPr>
          <w:lang w:val="en-AU"/>
        </w:rPr>
        <w:t>Access Alliance</w:t>
      </w:r>
      <w:r w:rsidR="00F12FAB">
        <w:rPr>
          <w:lang w:val="en-AU"/>
        </w:rPr>
        <w:t xml:space="preserve"> (n 11)</w:t>
      </w:r>
      <w:r w:rsidR="00031D54">
        <w:rPr>
          <w:lang w:val="en-AU"/>
        </w:rPr>
        <w:t>, P</w:t>
      </w:r>
      <w:r>
        <w:rPr>
          <w:lang w:val="en-AU"/>
        </w:rPr>
        <w:t>rinciple 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570E" w14:textId="77777777" w:rsidR="00550AA8" w:rsidRDefault="00550A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8C97" w14:textId="77777777" w:rsidR="00550AA8" w:rsidRDefault="00550A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4C1B" w14:textId="77777777" w:rsidR="00550AA8" w:rsidRDefault="00550A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311"/>
    <w:multiLevelType w:val="hybridMultilevel"/>
    <w:tmpl w:val="ACE07E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D22352"/>
    <w:multiLevelType w:val="hybridMultilevel"/>
    <w:tmpl w:val="7B9A4B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2C26DD"/>
    <w:multiLevelType w:val="hybridMultilevel"/>
    <w:tmpl w:val="B302F8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ABC2FB2"/>
    <w:multiLevelType w:val="hybridMultilevel"/>
    <w:tmpl w:val="0406D3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42500E8"/>
    <w:multiLevelType w:val="multilevel"/>
    <w:tmpl w:val="3F2017D0"/>
    <w:lvl w:ilvl="0">
      <w:start w:val="1"/>
      <w:numFmt w:val="decimal"/>
      <w:lvlText w:val="%1"/>
      <w:lvlJc w:val="left"/>
      <w:pPr>
        <w:ind w:left="2201" w:hanging="694"/>
      </w:pPr>
      <w:rPr>
        <w:w w:val="104"/>
      </w:rPr>
    </w:lvl>
    <w:lvl w:ilvl="1">
      <w:start w:val="1"/>
      <w:numFmt w:val="decimal"/>
      <w:lvlText w:val="%1.%2"/>
      <w:lvlJc w:val="left"/>
      <w:pPr>
        <w:ind w:left="2903" w:hanging="699"/>
      </w:pPr>
      <w:rPr>
        <w:spacing w:val="-1"/>
        <w:w w:val="112"/>
      </w:rPr>
    </w:lvl>
    <w:lvl w:ilvl="2">
      <w:numFmt w:val="bullet"/>
      <w:lvlText w:val="•"/>
      <w:lvlJc w:val="left"/>
      <w:pPr>
        <w:ind w:left="3140" w:hanging="699"/>
      </w:pPr>
    </w:lvl>
    <w:lvl w:ilvl="3">
      <w:numFmt w:val="bullet"/>
      <w:lvlText w:val="•"/>
      <w:lvlJc w:val="left"/>
      <w:pPr>
        <w:ind w:left="3160" w:hanging="699"/>
      </w:pPr>
    </w:lvl>
    <w:lvl w:ilvl="4">
      <w:numFmt w:val="bullet"/>
      <w:lvlText w:val="•"/>
      <w:lvlJc w:val="left"/>
      <w:pPr>
        <w:ind w:left="3180" w:hanging="699"/>
      </w:pPr>
    </w:lvl>
    <w:lvl w:ilvl="5">
      <w:numFmt w:val="bullet"/>
      <w:lvlText w:val="•"/>
      <w:lvlJc w:val="left"/>
      <w:pPr>
        <w:ind w:left="4628" w:hanging="699"/>
      </w:pPr>
    </w:lvl>
    <w:lvl w:ilvl="6">
      <w:numFmt w:val="bullet"/>
      <w:lvlText w:val="•"/>
      <w:lvlJc w:val="left"/>
      <w:pPr>
        <w:ind w:left="6077" w:hanging="699"/>
      </w:pPr>
    </w:lvl>
    <w:lvl w:ilvl="7">
      <w:numFmt w:val="bullet"/>
      <w:lvlText w:val="•"/>
      <w:lvlJc w:val="left"/>
      <w:pPr>
        <w:ind w:left="7526" w:hanging="699"/>
      </w:pPr>
    </w:lvl>
    <w:lvl w:ilvl="8">
      <w:numFmt w:val="bullet"/>
      <w:lvlText w:val="•"/>
      <w:lvlJc w:val="left"/>
      <w:pPr>
        <w:ind w:left="8975" w:hanging="699"/>
      </w:pPr>
    </w:lvl>
  </w:abstractNum>
  <w:abstractNum w:abstractNumId="5" w15:restartNumberingAfterBreak="0">
    <w:nsid w:val="4EA1476D"/>
    <w:multiLevelType w:val="hybridMultilevel"/>
    <w:tmpl w:val="445A8F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4844F62"/>
    <w:multiLevelType w:val="hybridMultilevel"/>
    <w:tmpl w:val="62BC1E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A9"/>
    <w:rsid w:val="00003CFF"/>
    <w:rsid w:val="000055D7"/>
    <w:rsid w:val="00006C13"/>
    <w:rsid w:val="00014BED"/>
    <w:rsid w:val="00021636"/>
    <w:rsid w:val="00023F6A"/>
    <w:rsid w:val="00031D54"/>
    <w:rsid w:val="00031E2F"/>
    <w:rsid w:val="00073225"/>
    <w:rsid w:val="0007671C"/>
    <w:rsid w:val="000826A1"/>
    <w:rsid w:val="0008327B"/>
    <w:rsid w:val="00084523"/>
    <w:rsid w:val="00091019"/>
    <w:rsid w:val="00092E3F"/>
    <w:rsid w:val="000961DE"/>
    <w:rsid w:val="000A6420"/>
    <w:rsid w:val="000B5227"/>
    <w:rsid w:val="000B6E8B"/>
    <w:rsid w:val="000E1432"/>
    <w:rsid w:val="000F2CF7"/>
    <w:rsid w:val="00104CEF"/>
    <w:rsid w:val="00125C0C"/>
    <w:rsid w:val="00126254"/>
    <w:rsid w:val="00136A62"/>
    <w:rsid w:val="00137405"/>
    <w:rsid w:val="00145FA1"/>
    <w:rsid w:val="00147760"/>
    <w:rsid w:val="001504FA"/>
    <w:rsid w:val="00154BF5"/>
    <w:rsid w:val="0016689F"/>
    <w:rsid w:val="00175C6E"/>
    <w:rsid w:val="00186045"/>
    <w:rsid w:val="001862C5"/>
    <w:rsid w:val="001875E3"/>
    <w:rsid w:val="00197BEB"/>
    <w:rsid w:val="001A0D61"/>
    <w:rsid w:val="001C50BB"/>
    <w:rsid w:val="001D4913"/>
    <w:rsid w:val="001D5A80"/>
    <w:rsid w:val="001E5BD1"/>
    <w:rsid w:val="001F5DEF"/>
    <w:rsid w:val="001F748E"/>
    <w:rsid w:val="00206B52"/>
    <w:rsid w:val="0023680C"/>
    <w:rsid w:val="00237873"/>
    <w:rsid w:val="0023795F"/>
    <w:rsid w:val="002402B2"/>
    <w:rsid w:val="00243128"/>
    <w:rsid w:val="002444D3"/>
    <w:rsid w:val="00254D7E"/>
    <w:rsid w:val="00277BDB"/>
    <w:rsid w:val="002805BE"/>
    <w:rsid w:val="00281BB1"/>
    <w:rsid w:val="00283DBB"/>
    <w:rsid w:val="002877C0"/>
    <w:rsid w:val="00287D02"/>
    <w:rsid w:val="002A08B9"/>
    <w:rsid w:val="002B5839"/>
    <w:rsid w:val="002C3163"/>
    <w:rsid w:val="002F02C1"/>
    <w:rsid w:val="002F26B8"/>
    <w:rsid w:val="002F4A45"/>
    <w:rsid w:val="00300D04"/>
    <w:rsid w:val="00310A34"/>
    <w:rsid w:val="00312AF1"/>
    <w:rsid w:val="00317618"/>
    <w:rsid w:val="00322AAA"/>
    <w:rsid w:val="0032385F"/>
    <w:rsid w:val="00323F29"/>
    <w:rsid w:val="00336ED8"/>
    <w:rsid w:val="0033739B"/>
    <w:rsid w:val="00351CAD"/>
    <w:rsid w:val="003652AB"/>
    <w:rsid w:val="00377755"/>
    <w:rsid w:val="00385F85"/>
    <w:rsid w:val="00390FF9"/>
    <w:rsid w:val="003944A9"/>
    <w:rsid w:val="003977AF"/>
    <w:rsid w:val="003C5320"/>
    <w:rsid w:val="003D3BDF"/>
    <w:rsid w:val="003D4B9B"/>
    <w:rsid w:val="003D70AE"/>
    <w:rsid w:val="003E2EDF"/>
    <w:rsid w:val="003E31DC"/>
    <w:rsid w:val="003E3EB8"/>
    <w:rsid w:val="003E66CA"/>
    <w:rsid w:val="00400E24"/>
    <w:rsid w:val="004177BC"/>
    <w:rsid w:val="0042046D"/>
    <w:rsid w:val="00435752"/>
    <w:rsid w:val="00440FDE"/>
    <w:rsid w:val="004412B7"/>
    <w:rsid w:val="004510BF"/>
    <w:rsid w:val="0045253B"/>
    <w:rsid w:val="00453D9A"/>
    <w:rsid w:val="00457D3D"/>
    <w:rsid w:val="00461EA9"/>
    <w:rsid w:val="004658D2"/>
    <w:rsid w:val="004708E3"/>
    <w:rsid w:val="00480598"/>
    <w:rsid w:val="004A29C3"/>
    <w:rsid w:val="004B182B"/>
    <w:rsid w:val="004B1C9F"/>
    <w:rsid w:val="004B41F2"/>
    <w:rsid w:val="004C35A1"/>
    <w:rsid w:val="004D13B7"/>
    <w:rsid w:val="004D389A"/>
    <w:rsid w:val="004F0B9F"/>
    <w:rsid w:val="004F2B67"/>
    <w:rsid w:val="004F4B52"/>
    <w:rsid w:val="00525F64"/>
    <w:rsid w:val="005373D3"/>
    <w:rsid w:val="00544E68"/>
    <w:rsid w:val="00545B03"/>
    <w:rsid w:val="00546F9E"/>
    <w:rsid w:val="00550AA8"/>
    <w:rsid w:val="0056614B"/>
    <w:rsid w:val="0057086D"/>
    <w:rsid w:val="0057115B"/>
    <w:rsid w:val="00575D13"/>
    <w:rsid w:val="00576C08"/>
    <w:rsid w:val="00591095"/>
    <w:rsid w:val="00593287"/>
    <w:rsid w:val="0059347C"/>
    <w:rsid w:val="00594DC5"/>
    <w:rsid w:val="005B26FB"/>
    <w:rsid w:val="005B475A"/>
    <w:rsid w:val="005C2801"/>
    <w:rsid w:val="005E0DF7"/>
    <w:rsid w:val="005E6E8F"/>
    <w:rsid w:val="005F3298"/>
    <w:rsid w:val="00601CA3"/>
    <w:rsid w:val="00613F44"/>
    <w:rsid w:val="00625AA3"/>
    <w:rsid w:val="00631587"/>
    <w:rsid w:val="006323B3"/>
    <w:rsid w:val="00647405"/>
    <w:rsid w:val="00651B66"/>
    <w:rsid w:val="00652353"/>
    <w:rsid w:val="006571C8"/>
    <w:rsid w:val="0066708C"/>
    <w:rsid w:val="00670F76"/>
    <w:rsid w:val="006758E6"/>
    <w:rsid w:val="00680907"/>
    <w:rsid w:val="00681D43"/>
    <w:rsid w:val="00683A88"/>
    <w:rsid w:val="00694354"/>
    <w:rsid w:val="006A1EE7"/>
    <w:rsid w:val="006A2392"/>
    <w:rsid w:val="006A4A1A"/>
    <w:rsid w:val="006B02D6"/>
    <w:rsid w:val="006B2005"/>
    <w:rsid w:val="006D1646"/>
    <w:rsid w:val="006D3A7B"/>
    <w:rsid w:val="006E2271"/>
    <w:rsid w:val="006F3FD4"/>
    <w:rsid w:val="006F5A87"/>
    <w:rsid w:val="0070417B"/>
    <w:rsid w:val="00723CD4"/>
    <w:rsid w:val="00732B0F"/>
    <w:rsid w:val="00733B64"/>
    <w:rsid w:val="00737BDE"/>
    <w:rsid w:val="00740E73"/>
    <w:rsid w:val="007411D8"/>
    <w:rsid w:val="007419F0"/>
    <w:rsid w:val="00741F9A"/>
    <w:rsid w:val="007503DF"/>
    <w:rsid w:val="00773C18"/>
    <w:rsid w:val="00777BFE"/>
    <w:rsid w:val="007830E9"/>
    <w:rsid w:val="00792CCD"/>
    <w:rsid w:val="007939E7"/>
    <w:rsid w:val="007B08F2"/>
    <w:rsid w:val="007B2569"/>
    <w:rsid w:val="007B5987"/>
    <w:rsid w:val="007C2BEB"/>
    <w:rsid w:val="007E1DE7"/>
    <w:rsid w:val="007F4154"/>
    <w:rsid w:val="007F796B"/>
    <w:rsid w:val="008042E3"/>
    <w:rsid w:val="008115AA"/>
    <w:rsid w:val="0082170A"/>
    <w:rsid w:val="0085009C"/>
    <w:rsid w:val="008524CA"/>
    <w:rsid w:val="00865C1B"/>
    <w:rsid w:val="00866834"/>
    <w:rsid w:val="0087568E"/>
    <w:rsid w:val="00875DE8"/>
    <w:rsid w:val="00884C0B"/>
    <w:rsid w:val="0089093A"/>
    <w:rsid w:val="00895DD7"/>
    <w:rsid w:val="008B478F"/>
    <w:rsid w:val="008B5B05"/>
    <w:rsid w:val="008C07AC"/>
    <w:rsid w:val="008C1BEA"/>
    <w:rsid w:val="008D2696"/>
    <w:rsid w:val="008D3A9E"/>
    <w:rsid w:val="008E2D22"/>
    <w:rsid w:val="008E34D8"/>
    <w:rsid w:val="008F1220"/>
    <w:rsid w:val="009024D3"/>
    <w:rsid w:val="009118E7"/>
    <w:rsid w:val="00920258"/>
    <w:rsid w:val="00920C06"/>
    <w:rsid w:val="00923DF6"/>
    <w:rsid w:val="009273DF"/>
    <w:rsid w:val="00942C9D"/>
    <w:rsid w:val="00950722"/>
    <w:rsid w:val="009601E2"/>
    <w:rsid w:val="0096173E"/>
    <w:rsid w:val="00976091"/>
    <w:rsid w:val="00990B63"/>
    <w:rsid w:val="009939D5"/>
    <w:rsid w:val="00993BEF"/>
    <w:rsid w:val="009A5AFC"/>
    <w:rsid w:val="009A5C67"/>
    <w:rsid w:val="009B0980"/>
    <w:rsid w:val="009C38CF"/>
    <w:rsid w:val="009E0815"/>
    <w:rsid w:val="009E4E96"/>
    <w:rsid w:val="009E541D"/>
    <w:rsid w:val="009E5EBB"/>
    <w:rsid w:val="009F2061"/>
    <w:rsid w:val="00A00FE5"/>
    <w:rsid w:val="00A0672B"/>
    <w:rsid w:val="00A06813"/>
    <w:rsid w:val="00A10FC3"/>
    <w:rsid w:val="00A14756"/>
    <w:rsid w:val="00A32047"/>
    <w:rsid w:val="00A324F8"/>
    <w:rsid w:val="00A42CA5"/>
    <w:rsid w:val="00A4340C"/>
    <w:rsid w:val="00A43E07"/>
    <w:rsid w:val="00A47FB0"/>
    <w:rsid w:val="00A560DA"/>
    <w:rsid w:val="00A618B4"/>
    <w:rsid w:val="00A67BEC"/>
    <w:rsid w:val="00A73148"/>
    <w:rsid w:val="00A77265"/>
    <w:rsid w:val="00AA115A"/>
    <w:rsid w:val="00AA67C8"/>
    <w:rsid w:val="00AB69AB"/>
    <w:rsid w:val="00AD0F72"/>
    <w:rsid w:val="00AD1312"/>
    <w:rsid w:val="00AD2E37"/>
    <w:rsid w:val="00AF4C10"/>
    <w:rsid w:val="00B0170E"/>
    <w:rsid w:val="00B10FF9"/>
    <w:rsid w:val="00B162EE"/>
    <w:rsid w:val="00B245C0"/>
    <w:rsid w:val="00B337EC"/>
    <w:rsid w:val="00B37236"/>
    <w:rsid w:val="00B41A37"/>
    <w:rsid w:val="00B43921"/>
    <w:rsid w:val="00B51D81"/>
    <w:rsid w:val="00B52DC1"/>
    <w:rsid w:val="00B54A0E"/>
    <w:rsid w:val="00B55DDE"/>
    <w:rsid w:val="00B574C9"/>
    <w:rsid w:val="00B6338A"/>
    <w:rsid w:val="00B647A9"/>
    <w:rsid w:val="00B66100"/>
    <w:rsid w:val="00B67346"/>
    <w:rsid w:val="00B812F3"/>
    <w:rsid w:val="00BA0E7D"/>
    <w:rsid w:val="00BA2285"/>
    <w:rsid w:val="00BA4CF6"/>
    <w:rsid w:val="00BB5875"/>
    <w:rsid w:val="00BD7710"/>
    <w:rsid w:val="00BE1D0C"/>
    <w:rsid w:val="00C00A99"/>
    <w:rsid w:val="00C141CE"/>
    <w:rsid w:val="00C14EF1"/>
    <w:rsid w:val="00C30FBA"/>
    <w:rsid w:val="00C314CF"/>
    <w:rsid w:val="00C3239A"/>
    <w:rsid w:val="00C35369"/>
    <w:rsid w:val="00C53E18"/>
    <w:rsid w:val="00C54B4A"/>
    <w:rsid w:val="00C61110"/>
    <w:rsid w:val="00C754E3"/>
    <w:rsid w:val="00C922B7"/>
    <w:rsid w:val="00C93176"/>
    <w:rsid w:val="00CB23C5"/>
    <w:rsid w:val="00CC1748"/>
    <w:rsid w:val="00CC26A6"/>
    <w:rsid w:val="00CE39A3"/>
    <w:rsid w:val="00CF0A13"/>
    <w:rsid w:val="00CF264B"/>
    <w:rsid w:val="00CF3BF6"/>
    <w:rsid w:val="00D06819"/>
    <w:rsid w:val="00D07356"/>
    <w:rsid w:val="00D149AF"/>
    <w:rsid w:val="00D151A7"/>
    <w:rsid w:val="00D30FA9"/>
    <w:rsid w:val="00D318ED"/>
    <w:rsid w:val="00D5396E"/>
    <w:rsid w:val="00D54E00"/>
    <w:rsid w:val="00D60D55"/>
    <w:rsid w:val="00D62001"/>
    <w:rsid w:val="00D723FE"/>
    <w:rsid w:val="00D74E47"/>
    <w:rsid w:val="00D92C05"/>
    <w:rsid w:val="00D966AF"/>
    <w:rsid w:val="00DA6002"/>
    <w:rsid w:val="00DB18EE"/>
    <w:rsid w:val="00DB4781"/>
    <w:rsid w:val="00DB7DDE"/>
    <w:rsid w:val="00DC4B29"/>
    <w:rsid w:val="00DC62C3"/>
    <w:rsid w:val="00DD5753"/>
    <w:rsid w:val="00DD5932"/>
    <w:rsid w:val="00DE0840"/>
    <w:rsid w:val="00DF13C1"/>
    <w:rsid w:val="00E07074"/>
    <w:rsid w:val="00E4079C"/>
    <w:rsid w:val="00E41554"/>
    <w:rsid w:val="00E70DA8"/>
    <w:rsid w:val="00E75D6E"/>
    <w:rsid w:val="00E8385F"/>
    <w:rsid w:val="00E85555"/>
    <w:rsid w:val="00E86605"/>
    <w:rsid w:val="00E93947"/>
    <w:rsid w:val="00EA072A"/>
    <w:rsid w:val="00EA19BC"/>
    <w:rsid w:val="00EA7B55"/>
    <w:rsid w:val="00EB6EAA"/>
    <w:rsid w:val="00EC067E"/>
    <w:rsid w:val="00EC3C1E"/>
    <w:rsid w:val="00ED035E"/>
    <w:rsid w:val="00ED2FDD"/>
    <w:rsid w:val="00EF08E9"/>
    <w:rsid w:val="00EF10A6"/>
    <w:rsid w:val="00EF477B"/>
    <w:rsid w:val="00F07E39"/>
    <w:rsid w:val="00F12FAB"/>
    <w:rsid w:val="00F13ADE"/>
    <w:rsid w:val="00F15354"/>
    <w:rsid w:val="00F34368"/>
    <w:rsid w:val="00F378C3"/>
    <w:rsid w:val="00F41184"/>
    <w:rsid w:val="00F4475D"/>
    <w:rsid w:val="00F4777E"/>
    <w:rsid w:val="00F47A86"/>
    <w:rsid w:val="00F51498"/>
    <w:rsid w:val="00F54DB0"/>
    <w:rsid w:val="00F73DD8"/>
    <w:rsid w:val="00F85DAD"/>
    <w:rsid w:val="00F9261A"/>
    <w:rsid w:val="00F94FEE"/>
    <w:rsid w:val="00FA505A"/>
    <w:rsid w:val="00FB0DA8"/>
    <w:rsid w:val="00FB1F98"/>
    <w:rsid w:val="00FB6C17"/>
    <w:rsid w:val="00FC461E"/>
    <w:rsid w:val="00FC7172"/>
    <w:rsid w:val="00FD1B11"/>
    <w:rsid w:val="00FD6617"/>
    <w:rsid w:val="00FD73D1"/>
    <w:rsid w:val="00FE1468"/>
    <w:rsid w:val="00FE4B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2B4F"/>
  <w15:chartTrackingRefBased/>
  <w15:docId w15:val="{D27166E5-0DBC-4FB5-BBB7-EB14891B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45"/>
    <w:pPr>
      <w:spacing w:before="240" w:after="240" w:line="240" w:lineRule="auto"/>
    </w:pPr>
    <w:rPr>
      <w:rFonts w:ascii="Arial" w:hAnsi="Arial"/>
      <w:sz w:val="24"/>
    </w:rPr>
  </w:style>
  <w:style w:type="paragraph" w:styleId="Heading1">
    <w:name w:val="heading 1"/>
    <w:basedOn w:val="Normal"/>
    <w:next w:val="Normal"/>
    <w:link w:val="Heading1Char"/>
    <w:uiPriority w:val="9"/>
    <w:qFormat/>
    <w:rsid w:val="00865C1B"/>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92E3F"/>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5D6E"/>
    <w:pPr>
      <w:spacing w:after="0"/>
    </w:pPr>
    <w:rPr>
      <w:sz w:val="20"/>
      <w:szCs w:val="20"/>
    </w:rPr>
  </w:style>
  <w:style w:type="character" w:customStyle="1" w:styleId="FootnoteTextChar">
    <w:name w:val="Footnote Text Char"/>
    <w:basedOn w:val="DefaultParagraphFont"/>
    <w:link w:val="FootnoteText"/>
    <w:uiPriority w:val="99"/>
    <w:semiHidden/>
    <w:rsid w:val="00E75D6E"/>
    <w:rPr>
      <w:sz w:val="20"/>
      <w:szCs w:val="20"/>
    </w:rPr>
  </w:style>
  <w:style w:type="character" w:styleId="FootnoteReference">
    <w:name w:val="footnote reference"/>
    <w:basedOn w:val="DefaultParagraphFont"/>
    <w:uiPriority w:val="99"/>
    <w:semiHidden/>
    <w:unhideWhenUsed/>
    <w:rsid w:val="00E75D6E"/>
    <w:rPr>
      <w:vertAlign w:val="superscript"/>
    </w:rPr>
  </w:style>
  <w:style w:type="paragraph" w:styleId="NormalWeb">
    <w:name w:val="Normal (Web)"/>
    <w:basedOn w:val="Normal"/>
    <w:uiPriority w:val="99"/>
    <w:unhideWhenUsed/>
    <w:rsid w:val="00F41184"/>
    <w:pPr>
      <w:spacing w:before="100" w:beforeAutospacing="1" w:after="100" w:afterAutospacing="1"/>
    </w:pPr>
    <w:rPr>
      <w:rFonts w:ascii="Times New Roman" w:eastAsia="Times New Roman" w:hAnsi="Times New Roman" w:cs="Times New Roman"/>
      <w:szCs w:val="24"/>
      <w:lang w:eastAsia="en-NZ"/>
    </w:rPr>
  </w:style>
  <w:style w:type="character" w:styleId="Hyperlink">
    <w:name w:val="Hyperlink"/>
    <w:basedOn w:val="DefaultParagraphFont"/>
    <w:uiPriority w:val="99"/>
    <w:unhideWhenUsed/>
    <w:rsid w:val="00F41184"/>
    <w:rPr>
      <w:color w:val="0000FF"/>
      <w:u w:val="single"/>
    </w:rPr>
  </w:style>
  <w:style w:type="paragraph" w:styleId="ListParagraph">
    <w:name w:val="List Paragraph"/>
    <w:basedOn w:val="Normal"/>
    <w:uiPriority w:val="1"/>
    <w:qFormat/>
    <w:rsid w:val="00C35369"/>
    <w:pPr>
      <w:ind w:left="720"/>
      <w:contextualSpacing/>
    </w:pPr>
  </w:style>
  <w:style w:type="character" w:customStyle="1" w:styleId="UnresolvedMention">
    <w:name w:val="Unresolved Mention"/>
    <w:basedOn w:val="DefaultParagraphFont"/>
    <w:uiPriority w:val="99"/>
    <w:semiHidden/>
    <w:unhideWhenUsed/>
    <w:rsid w:val="009A5C67"/>
    <w:rPr>
      <w:color w:val="605E5C"/>
      <w:shd w:val="clear" w:color="auto" w:fill="E1DFDD"/>
    </w:rPr>
  </w:style>
  <w:style w:type="character" w:customStyle="1" w:styleId="Heading1Char">
    <w:name w:val="Heading 1 Char"/>
    <w:basedOn w:val="DefaultParagraphFont"/>
    <w:link w:val="Heading1"/>
    <w:uiPriority w:val="9"/>
    <w:rsid w:val="00865C1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92E3F"/>
    <w:rPr>
      <w:rFonts w:ascii="Arial" w:eastAsiaTheme="majorEastAsia" w:hAnsi="Arial" w:cstheme="majorBidi"/>
      <w:b/>
      <w:sz w:val="28"/>
      <w:szCs w:val="26"/>
    </w:rPr>
  </w:style>
  <w:style w:type="paragraph" w:styleId="Title">
    <w:name w:val="Title"/>
    <w:basedOn w:val="Normal"/>
    <w:next w:val="Normal"/>
    <w:link w:val="TitleChar"/>
    <w:uiPriority w:val="10"/>
    <w:qFormat/>
    <w:rsid w:val="00865C1B"/>
    <w:pPr>
      <w:spacing w:before="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65C1B"/>
    <w:rPr>
      <w:rFonts w:ascii="Arial" w:eastAsiaTheme="majorEastAsia" w:hAnsi="Arial" w:cstheme="majorBidi"/>
      <w:b/>
      <w:spacing w:val="-10"/>
      <w:kern w:val="28"/>
      <w:sz w:val="40"/>
      <w:szCs w:val="56"/>
    </w:rPr>
  </w:style>
  <w:style w:type="paragraph" w:styleId="Subtitle">
    <w:name w:val="Subtitle"/>
    <w:basedOn w:val="Normal"/>
    <w:next w:val="Normal"/>
    <w:link w:val="SubtitleChar"/>
    <w:uiPriority w:val="11"/>
    <w:qFormat/>
    <w:rsid w:val="00C61110"/>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C61110"/>
    <w:rPr>
      <w:rFonts w:ascii="Arial" w:eastAsiaTheme="minorEastAsia" w:hAnsi="Arial"/>
      <w:spacing w:val="15"/>
      <w:sz w:val="32"/>
    </w:rPr>
  </w:style>
  <w:style w:type="paragraph" w:styleId="Header">
    <w:name w:val="header"/>
    <w:basedOn w:val="Normal"/>
    <w:link w:val="HeaderChar"/>
    <w:uiPriority w:val="99"/>
    <w:unhideWhenUsed/>
    <w:rsid w:val="00550AA8"/>
    <w:pPr>
      <w:tabs>
        <w:tab w:val="center" w:pos="4513"/>
        <w:tab w:val="right" w:pos="9026"/>
      </w:tabs>
      <w:spacing w:before="0" w:after="0"/>
    </w:pPr>
  </w:style>
  <w:style w:type="character" w:customStyle="1" w:styleId="HeaderChar">
    <w:name w:val="Header Char"/>
    <w:basedOn w:val="DefaultParagraphFont"/>
    <w:link w:val="Header"/>
    <w:uiPriority w:val="99"/>
    <w:rsid w:val="00550AA8"/>
    <w:rPr>
      <w:rFonts w:ascii="Arial" w:hAnsi="Arial"/>
      <w:sz w:val="24"/>
    </w:rPr>
  </w:style>
  <w:style w:type="paragraph" w:styleId="Footer">
    <w:name w:val="footer"/>
    <w:basedOn w:val="Normal"/>
    <w:link w:val="FooterChar"/>
    <w:uiPriority w:val="99"/>
    <w:unhideWhenUsed/>
    <w:rsid w:val="00550AA8"/>
    <w:pPr>
      <w:tabs>
        <w:tab w:val="center" w:pos="4513"/>
        <w:tab w:val="right" w:pos="9026"/>
      </w:tabs>
      <w:spacing w:before="0" w:after="0"/>
    </w:pPr>
  </w:style>
  <w:style w:type="character" w:customStyle="1" w:styleId="FooterChar">
    <w:name w:val="Footer Char"/>
    <w:basedOn w:val="DefaultParagraphFont"/>
    <w:link w:val="Footer"/>
    <w:uiPriority w:val="99"/>
    <w:rsid w:val="00550AA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758497">
      <w:bodyDiv w:val="1"/>
      <w:marLeft w:val="0"/>
      <w:marRight w:val="0"/>
      <w:marTop w:val="0"/>
      <w:marBottom w:val="0"/>
      <w:divBdr>
        <w:top w:val="none" w:sz="0" w:space="0" w:color="auto"/>
        <w:left w:val="none" w:sz="0" w:space="0" w:color="auto"/>
        <w:bottom w:val="none" w:sz="0" w:space="0" w:color="auto"/>
        <w:right w:val="none" w:sz="0" w:space="0" w:color="auto"/>
      </w:divBdr>
    </w:div>
    <w:div w:id="1683047079">
      <w:bodyDiv w:val="1"/>
      <w:marLeft w:val="0"/>
      <w:marRight w:val="0"/>
      <w:marTop w:val="0"/>
      <w:marBottom w:val="0"/>
      <w:divBdr>
        <w:top w:val="none" w:sz="0" w:space="0" w:color="auto"/>
        <w:left w:val="none" w:sz="0" w:space="0" w:color="auto"/>
        <w:bottom w:val="none" w:sz="0" w:space="0" w:color="auto"/>
        <w:right w:val="none" w:sz="0" w:space="0" w:color="auto"/>
      </w:divBdr>
    </w:div>
    <w:div w:id="2069762547">
      <w:bodyDiv w:val="1"/>
      <w:marLeft w:val="0"/>
      <w:marRight w:val="0"/>
      <w:marTop w:val="0"/>
      <w:marBottom w:val="0"/>
      <w:divBdr>
        <w:top w:val="none" w:sz="0" w:space="0" w:color="auto"/>
        <w:left w:val="none" w:sz="0" w:space="0" w:color="auto"/>
        <w:bottom w:val="none" w:sz="0" w:space="0" w:color="auto"/>
        <w:right w:val="none" w:sz="0" w:space="0" w:color="auto"/>
      </w:divBdr>
    </w:div>
    <w:div w:id="20930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cessalliance.org.nz/the_accessibility_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32BD7-60B6-4A8B-88BA-C03CD1B5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Kelly</dc:creator>
  <cp:keywords/>
  <dc:description/>
  <cp:lastModifiedBy>Jo Silcock</cp:lastModifiedBy>
  <cp:revision>2</cp:revision>
  <cp:lastPrinted>2022-05-11T21:06:00Z</cp:lastPrinted>
  <dcterms:created xsi:type="dcterms:W3CDTF">2022-05-17T01:23:00Z</dcterms:created>
  <dcterms:modified xsi:type="dcterms:W3CDTF">2022-05-17T01:23:00Z</dcterms:modified>
</cp:coreProperties>
</file>